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الفطاني
</w:t>
      </w:r>
    </w:p>
    <w:p>
      <w:pPr>
        <w:jc w:val="start"/>
        <w:bidi/>
      </w:pPr>
      <w:r>
        <w:rPr>
          <w:rFonts w:ascii="arial" w:hAnsi="arial" w:eastAsia="arial" w:cs="arial"/>
          <w:sz w:val="28"/>
          <w:szCs w:val="28"/>
          <w:b w:val="1"/>
          <w:bCs w:val="1"/>
          <w:rtl/>
        </w:rPr>
        <w:t xml:space="preserve">الفطاني
</w:t>
      </w:r>
    </w:p>
    <w:p>
      <w:pPr/>
      <w:r>
        <w:rPr/>
        <w:t xml:space="preserve">الفطاني  إبراهيم بن داود بن عبد القادر الفطاني المكي: علامة مفسر فقيه قاض من الشعراء. ولد بمكة المكرمة وقرأ على أجلة العلماء ببلده وبالمدارس، وتضلع من الفقه حتى صار حجة، ومهر بالتفسير، درس في المسجد الحرام ودار العلوم الدينية وعين في القضاء. من مؤلفاته (تفسير العشر الأخير من القرآن الكريم)، (شرح على رياض الصالحين) لم يتم، (منظومة في اصطلاحات المنهاج للنووي). وله شعر جمعه في ديوان صغير سماه (الهمزية)، وقصيدة (نهج البردة)، وأهدى خزانة كتبه إلى جامعة الملك عبد العزيز.</w:t>
      </w:r>
    </w:p>
    <w:p/>
    <w:p>
      <w:pPr>
        <w:jc w:val="start"/>
        <w:bidi/>
      </w:pPr>
      <w:r>
        <w:rPr>
          <w:sz w:val="24"/>
          <w:szCs w:val="24"/>
          <w:b w:val="1"/>
          <w:bCs w:val="1"/>
          <w:rtl/>
        </w:rPr>
        <w:t xml:space="preserve">
إتمام الأعلام،(دار صادر - بيروت،1999،ط 1،ج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2026-05-13T23:36:04+03:00</dcterms:created>
  <dcterms:modified xsi:type="dcterms:W3CDTF">2026-05-13T23:36:04+03:00</dcterms:modified>
</cp:coreProperties>
</file>

<file path=docProps/custom.xml><?xml version="1.0" encoding="utf-8"?>
<Properties xmlns="http://schemas.openxmlformats.org/officeDocument/2006/custom-properties" xmlns:vt="http://schemas.openxmlformats.org/officeDocument/2006/docPropsVTypes"/>
</file>