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الكلبي
</w:t>
      </w:r>
    </w:p>
    <w:p>
      <w:pPr>
        <w:jc w:val="start"/>
        <w:bidi/>
      </w:pPr>
      <w:r>
        <w:rPr>
          <w:rFonts w:ascii="arial" w:hAnsi="arial" w:eastAsia="arial" w:cs="arial"/>
          <w:sz w:val="28"/>
          <w:szCs w:val="28"/>
          <w:b w:val="1"/>
          <w:bCs w:val="1"/>
          <w:rtl/>
        </w:rPr>
        <w:t xml:space="preserve">الكلبي
</w:t>
      </w:r>
    </w:p>
    <w:p>
      <w:pPr/>
      <w:r>
        <w:rPr/>
        <w:t xml:space="preserve">الكلبي  يوسف بن موسى الكلبى، أبو الحجاج: عالم بالنحو والتوحيد والاعتقادات، ضرير. من أهل سرقسطة. انتقل فى أعوامه الأخيرة إلى العدوة. وتوفى بغرناطة. قال ابن بشكوال: له تصانيف حسان وأراجيز مشهورة. </w:t>
      </w:r>
    </w:p>
    <w:p>
      <w:pPr>
        <w:jc w:val="start"/>
        <w:bidi/>
      </w:pPr>
      <w:r>
        <w:rPr>
          <w:sz w:val="24"/>
          <w:szCs w:val="24"/>
          <w:b w:val="1"/>
          <w:bCs w:val="1"/>
          <w:rtl/>
        </w:rPr>
        <w:t xml:space="preserve">
الأعلام،(دار العلم للملايين - بيروت،2002،ط 15،ج 8،ص 254)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موسى الكلبي المتكلم النحوي أبو الحجاج الضرير
</w:t>
      </w:r>
    </w:p>
    <w:p>
      <w:pPr/>
      <w:r>
        <w:rPr/>
        <w:t xml:space="preserve">يوسف بن موسى الكلبي المتكلم النحوي أبو الحجاج الضرير كان من المشتغلين بعلم الكلام على مذهب الأشعرية ونطام أهل السنة، عارفا بالنحو والأدب وله في ذلك تصانيف مشهورة، وسكن بلدنا مدة وتررد بالأندلس والمغرب، وكان آخر المشتغلين بعبم الكلام بالنغرب.</w:t>
      </w:r>
    </w:p>
    <w:p/>
    <w:p>
      <w:pPr/>
      <w:r>
        <w:rPr/>
        <w:t xml:space="preserve">قرأت عليه أرجوزته الصغرى التي ألف في الاعتقادات وحدثني بالكبري وبكتاب التجريد لأبي يكر المرادي ولأجازني لأرجوزته الكبرى وجميع تواليفه وروياته منها تآليف الفقيه أبي بكر المرادي - شيخه - وعنه كان أكثر أخذه ومن ذلك كتاب فقه اللغة للثعالبي، وأخبرني به عن المرادي عن أبي القاسم عبد الرحمن بن عمر بن محمد التميمي عن أبي محمد إسماعيل بن محمد بن عبدوس النيسابوري. عن أبي منصور الثعالبي، أنشدني، رحمه الله، قال: أنشدني لأبو بكر المرادي لنفسه في الحجة على إثبات القدر:</w:t>
      </w:r>
    </w:p>
    <w:p/>
    <w:p>
      <w:pPr>
        <w:jc w:val="center"/>
      </w:pPr>
      <w:r>
        <w:rPr>
          <w:color w:val="ff0000"/>
        </w:rPr>
        <w:t xml:space="preserve">علمي بقبح المعاصي حين أركبها</w:t>
      </w:r>
      <w:r>
        <w:rPr>
          <w:color w:val="ff0000"/>
        </w:rPr>
        <w:t xml:space="preserve">      </w:t>
      </w:r>
      <w:r>
        <w:rPr>
          <w:color w:val="ff0000"/>
        </w:rPr>
        <w:t xml:space="preserve">يقضي بأني محمول على القدر</w:t>
      </w:r>
    </w:p>
    <w:p/>
    <w:p>
      <w:pPr>
        <w:jc w:val="center"/>
      </w:pPr>
      <w:r>
        <w:rPr>
          <w:color w:val="ff0000"/>
        </w:rPr>
        <w:t xml:space="preserve">لو كنت أملك نفسي أو أصدقها</w:t>
      </w:r>
      <w:r>
        <w:rPr>
          <w:color w:val="ff0000"/>
        </w:rPr>
        <w:t xml:space="preserve">      </w:t>
      </w:r>
      <w:r>
        <w:rPr>
          <w:color w:val="ff0000"/>
        </w:rPr>
        <w:t xml:space="preserve">ما كنت أطرحها في لجة الغمر</w:t>
      </w:r>
    </w:p>
    <w:p/>
    <w:p>
      <w:pPr>
        <w:jc w:val="center"/>
      </w:pPr>
      <w:r>
        <w:rPr>
          <w:color w:val="ff0000"/>
        </w:rPr>
        <w:t xml:space="preserve">كلفت فعلا ولم أقدر عليه ولم</w:t>
      </w:r>
      <w:r>
        <w:rPr>
          <w:color w:val="ff0000"/>
        </w:rPr>
        <w:t xml:space="preserve">      </w:t>
      </w:r>
      <w:r>
        <w:rPr>
          <w:color w:val="ff0000"/>
        </w:rPr>
        <w:t xml:space="preserve">أكن لأفعل أفعلا بلا قدر</w:t>
      </w:r>
    </w:p>
    <w:p/>
    <w:p>
      <w:pPr>
        <w:jc w:val="center"/>
      </w:pPr>
      <w:r>
        <w:rPr>
          <w:color w:val="ff0000"/>
        </w:rPr>
        <w:t xml:space="preserve">وكان في عدل ربي أن يعذبني</w:t>
      </w:r>
      <w:r>
        <w:rPr>
          <w:color w:val="ff0000"/>
        </w:rPr>
        <w:t xml:space="preserve">      </w:t>
      </w:r>
      <w:r>
        <w:rPr>
          <w:color w:val="ff0000"/>
        </w:rPr>
        <w:t xml:space="preserve">فلم أشاركه في نفع ولا ضرر</w:t>
      </w:r>
    </w:p>
    <w:p/>
    <w:p>
      <w:pPr>
        <w:jc w:val="center"/>
      </w:pPr>
      <w:r>
        <w:rPr>
          <w:color w:val="ff0000"/>
        </w:rPr>
        <w:t xml:space="preserve">إن شاء نعمني أو شاء عذبني</w:t>
      </w:r>
      <w:r>
        <w:rPr>
          <w:color w:val="ff0000"/>
        </w:rPr>
        <w:t xml:space="preserve">      </w:t>
      </w:r>
      <w:r>
        <w:rPr>
          <w:color w:val="ff0000"/>
        </w:rPr>
        <w:t xml:space="preserve">أو شاء صورني في أقبح الصور</w:t>
      </w:r>
    </w:p>
    <w:p/>
    <w:p>
      <w:pPr>
        <w:jc w:val="center"/>
      </w:pPr>
      <w:r>
        <w:rPr>
          <w:color w:val="ff0000"/>
        </w:rPr>
        <w:t xml:space="preserve">يا رب عفوك عن ذنب قضيت به</w:t>
      </w:r>
      <w:r>
        <w:rPr>
          <w:color w:val="ff0000"/>
        </w:rPr>
        <w:t xml:space="preserve">      </w:t>
      </w:r>
      <w:r>
        <w:rPr>
          <w:color w:val="ff0000"/>
        </w:rPr>
        <w:t xml:space="preserve">عدلا علي فهب لي صفح مقتدر</w:t>
      </w:r>
    </w:p>
    <w:p/>
    <w:p>
      <w:pPr/>
      <w:r>
        <w:rPr/>
        <w:t xml:space="preserve">وكانت وفاة المرادي بأزكي من بلاد الصحراء سنة تسع وثمانين وأربعمائة.</w:t>
      </w:r>
    </w:p>
    <w:p>
      <w:pPr>
        <w:jc w:val="start"/>
        <w:bidi/>
      </w:pPr>
      <w:r>
        <w:rPr>
          <w:sz w:val="24"/>
          <w:szCs w:val="24"/>
          <w:b w:val="1"/>
          <w:bCs w:val="1"/>
          <w:rtl/>
        </w:rPr>
        <w:t xml:space="preserve">
الغنية / فهرست شيوخ القاضي عياض،(دار الغرب الإسلامي،1982،ط 1،ج 1،ص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موسى الكلبي الضرير، من أهل سرقسطة، يكنى أبا الحجاج
</w:t>
      </w:r>
    </w:p>
    <w:p>
      <w:pPr/>
      <w:r>
        <w:rPr/>
        <w:t xml:space="preserve">يوسف بن موسى الكلبي الضرير، من أهل سرقسطة، يكنى أبا الحجاج </w:t>
      </w:r>
    </w:p>
    <w:p/>
    <w:p>
      <w:pPr/>
      <w:r>
        <w:rPr/>
        <w:t xml:space="preserve">يروي عن أبي مروان بن سراج، وأبي علي بالجياني وغيرهما، وكان نحوياً أصولياً إماماً، أخذ عن أبي بكر المرادي وكان مختصاً به وله تصانيف حسان وأراجيز مشهورة، وانتقل إلى العدوة، وتوفى بها في سنة عشرين وخمسمائة.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2026-05-14T02:11:08+03:00</dcterms:created>
  <dcterms:modified xsi:type="dcterms:W3CDTF">2026-05-14T02:11:08+03:00</dcterms:modified>
</cp:coreProperties>
</file>

<file path=docProps/custom.xml><?xml version="1.0" encoding="utf-8"?>
<Properties xmlns="http://schemas.openxmlformats.org/officeDocument/2006/custom-properties" xmlns:vt="http://schemas.openxmlformats.org/officeDocument/2006/docPropsVTypes"/>
</file>