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حموية
</w:t>
      </w:r>
    </w:p>
    <w:p>
      <w:pPr>
        <w:jc w:val="start"/>
        <w:bidi/>
      </w:pPr>
      <w:r>
        <w:rPr>
          <w:rFonts w:ascii="arial" w:hAnsi="arial" w:eastAsia="arial" w:cs="arial"/>
          <w:sz w:val="28"/>
          <w:szCs w:val="28"/>
          <w:b w:val="1"/>
          <w:bCs w:val="1"/>
          <w:rtl/>
        </w:rPr>
        <w:t xml:space="preserve">ابن حموية
</w:t>
      </w:r>
    </w:p>
    <w:p>
      <w:pPr/>
      <w:r>
        <w:rPr/>
        <w:t xml:space="preserve">ابن حموية  يوسف (فخر الدين) بن محمد (صدر الدين) ابن عمر بن علي بن محمد بن حموية الجويني، الصاحب أبو المظفر: قائد، من الأدباء. من أسرة من أصلها من (جوين) بنيسابور، كان منها في الشام ومصر، بعد النصف الثاني من المئة السادسة، علماء وأعيان. ولد وتعلم بدمشق. وكان (كما يقول ابن العماد) رئيسا محتشما، سيدا معظما، وخدم الملك الكامل (محمد ابن محمد) من سنة 624 إلى ان توفى (سنة 635) وسجنه السلطان نجم الدين سنة 1640-43 وقاسى شدائد. ثم أخرجه وأنعم عليه وجعله مقدم الجيش. واستمر ينتدب للمهمات، إلى ان مات السلطان نجم الدين (في المنصورة) والفرنج مستولون على دمياط. وصاحب الترجمة مقدم الجيوش فقام بتدبير الملك، فقام بتددبير المملكة، وجرت بينه وبين الفرنج معارك. وأغار هؤلاء على المنصورة، فركب، على غير استعداد، فطعنه أحدهم برمح في جنبه وتناولته السيوف من كل ناحية، فمات شهيدا. قال ابن تغري بردى: لما مات الملك الصالح، ندب فخر الدين إلى الملك، فامتنع، ولو أجاب لما خالفوه. وأورد له بيتين من الشعر يقال انهما لغيره. وذكر السبكي بيتين آخرين من شعره، ثانيهما:</w:t>
      </w:r>
    </w:p>
    <w:p/>
    <w:p>
      <w:pPr>
        <w:jc w:val="center"/>
      </w:pPr>
      <w:r>
        <w:rPr>
          <w:color w:val="ff0000"/>
        </w:rPr>
        <w:t xml:space="preserve">انتم سكنتم فؤادي وهو منزلكم</w:t>
      </w:r>
      <w:r>
        <w:rPr>
          <w:color w:val="ff0000"/>
        </w:rPr>
        <w:t xml:space="preserve">      </w:t>
      </w:r>
      <w:r>
        <w:rPr>
          <w:color w:val="ff0000"/>
        </w:rPr>
        <w:t xml:space="preserve">وصاحب البيت ادرى بالذي فيه</w:t>
      </w:r>
    </w:p>
    <w:p/>
    <w:p>
      <w:pPr/>
      <w:r>
        <w:rPr/>
        <w:t xml:space="preserve">وهو، على التحقيق، صاحب (تقويم النديم وعقبى النعيم المقيم-خ) أملاه على طريقة (المقامات) ولاتزال منه نسخ في حلب ومصر والموصل، أقدمهما المحفوظة في مكتبة الأزهر) و (ديوان شعر -خ). </w:t>
      </w:r>
    </w:p>
    <w:p>
      <w:pPr>
        <w:jc w:val="start"/>
        <w:bidi/>
      </w:pPr>
      <w:r>
        <w:rPr>
          <w:sz w:val="24"/>
          <w:szCs w:val="24"/>
          <w:b w:val="1"/>
          <w:bCs w:val="1"/>
          <w:rtl/>
        </w:rPr>
        <w:t xml:space="preserve">
الأعلام،(دار العلم للملايين - بيروت،2002،ط 15،ج 8،ص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2026-05-14T02:13:08+03:00</dcterms:created>
  <dcterms:modified xsi:type="dcterms:W3CDTF">2026-05-14T02:13:08+03:00</dcterms:modified>
</cp:coreProperties>
</file>

<file path=docProps/custom.xml><?xml version="1.0" encoding="utf-8"?>
<Properties xmlns="http://schemas.openxmlformats.org/officeDocument/2006/custom-properties" xmlns:vt="http://schemas.openxmlformats.org/officeDocument/2006/docPropsVTypes"/>
</file>