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المظفر الرسولي
</w:t>
      </w:r>
    </w:p>
    <w:p>
      <w:pPr>
        <w:jc w:val="start"/>
        <w:bidi/>
      </w:pPr>
      <w:r>
        <w:rPr>
          <w:rFonts w:ascii="arial" w:hAnsi="arial" w:eastAsia="arial" w:cs="arial"/>
          <w:sz w:val="28"/>
          <w:szCs w:val="28"/>
          <w:b w:val="1"/>
          <w:bCs w:val="1"/>
          <w:rtl/>
        </w:rPr>
        <w:t xml:space="preserve">المظفر الرسولي
</w:t>
      </w:r>
    </w:p>
    <w:p>
      <w:pPr/>
      <w:r>
        <w:rPr/>
        <w:t xml:space="preserve">المظفر الرسولي  يوسف بن عبد الله بن أحمد ين اسماعيل ابن عباس الرسولي، الملك المظفر ابن الملك المنصور ابن الناصر ابن الأشرف إسماعيل: من ملوك الدولة الرسولية في اليمن. ولي سنة 845 بتعز. واضطرب أمره، فخلعه عبيده، وقبض عليه الملك المسعود (أبو القاسم بن إسماعيل) سنة 854 وسلمه إلى العبيد يتصرفون بخ كما يشاؤون. وانقطعت أخباره. </w:t>
      </w:r>
    </w:p>
    <w:p>
      <w:pPr>
        <w:jc w:val="start"/>
        <w:bidi/>
      </w:pPr>
      <w:r>
        <w:rPr>
          <w:sz w:val="24"/>
          <w:szCs w:val="24"/>
          <w:b w:val="1"/>
          <w:bCs w:val="1"/>
          <w:rtl/>
        </w:rPr>
        <w:t xml:space="preserve">
الأعلام،(دار العلم للملايين - بيروت،2002،ط 15،ج 8،ص 240)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المظفر
</w:t>
      </w:r>
    </w:p>
    <w:p>
      <w:pPr/>
      <w:r>
        <w:rPr/>
        <w:t xml:space="preserve">المظفر: </w:t>
      </w:r>
    </w:p>
    <w:p/>
    <w:p>
      <w:pPr/>
      <w:r>
        <w:rPr/>
        <w:t xml:space="preserve">صاحب اليمن، هو يوسف بن المنصور.</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2026-05-14T04:00:59+03:00</dcterms:created>
  <dcterms:modified xsi:type="dcterms:W3CDTF">2026-05-14T04:00:59+03:00</dcterms:modified>
</cp:coreProperties>
</file>

<file path=docProps/custom.xml><?xml version="1.0" encoding="utf-8"?>
<Properties xmlns="http://schemas.openxmlformats.org/officeDocument/2006/custom-properties" xmlns:vt="http://schemas.openxmlformats.org/officeDocument/2006/docPropsVTypes"/>
</file>