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بغداد
</w:t>
      </w:r>
    </w:p>
    <w:p>
      <w:pPr>
        <w:jc w:val="start"/>
        <w:bidi/>
      </w:pPr>
      <w:r>
        <w:rPr>
          <w:rFonts w:ascii="arial" w:hAnsi="arial" w:eastAsia="arial" w:cs="arial"/>
          <w:sz w:val="28"/>
          <w:szCs w:val="28"/>
          <w:b w:val="1"/>
          <w:bCs w:val="1"/>
          <w:rtl/>
        </w:rPr>
        <w:t xml:space="preserve">قاضي بغداد
</w:t>
      </w:r>
    </w:p>
    <w:p>
      <w:pPr/>
      <w:r>
        <w:rPr/>
        <w:t xml:space="preserve">قاضي بغداد  يوسف بن حسن الحسينى الشيرزاى الحنفى: فقيه متفنن. من أهل شيراز. سكن بغداد وولى قضاءها مدة. ولما حدثت فتنة (ابن أردبيل) رحل إلى ماردين. ثم دخل بلاد الروم (الترك) فعين مدرسا فى بروسة إلى أن توفى. له كتب، منها (شرح نهج البلاغة) و (كفاية الراوى والسامع) فى الحديث، و (حاشية على التلويح للتفتازانى) فى الأصول. </w:t>
      </w:r>
    </w:p>
    <w:p>
      <w:pPr>
        <w:jc w:val="start"/>
        <w:bidi/>
      </w:pPr>
      <w:r>
        <w:rPr>
          <w:sz w:val="24"/>
          <w:szCs w:val="24"/>
          <w:b w:val="1"/>
          <w:bCs w:val="1"/>
          <w:rtl/>
        </w:rPr>
        <w:t xml:space="preserve">
الأعلام،(دار العلم للملايين - بيروت،2002،ط 15،ج 8،ص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2026-05-14T05:45:48+03:00</dcterms:created>
  <dcterms:modified xsi:type="dcterms:W3CDTF">2026-05-14T05:45:48+03:00</dcterms:modified>
</cp:coreProperties>
</file>

<file path=docProps/custom.xml><?xml version="1.0" encoding="utf-8"?>
<Properties xmlns="http://schemas.openxmlformats.org/officeDocument/2006/custom-properties" xmlns:vt="http://schemas.openxmlformats.org/officeDocument/2006/docPropsVTypes"/>
</file>