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غزالة
</w:t>
      </w:r>
    </w:p>
    <w:p>
      <w:pPr>
        <w:jc w:val="start"/>
        <w:bidi/>
      </w:pPr>
      <w:r>
        <w:rPr>
          <w:rFonts w:ascii="arial" w:hAnsi="arial" w:eastAsia="arial" w:cs="arial"/>
          <w:sz w:val="28"/>
          <w:szCs w:val="28"/>
          <w:b w:val="1"/>
          <w:bCs w:val="1"/>
          <w:rtl/>
        </w:rPr>
        <w:t xml:space="preserve">يوسف غزالة
</w:t>
      </w:r>
    </w:p>
    <w:p>
      <w:pPr/>
      <w:r>
        <w:rPr/>
        <w:t xml:space="preserve">يوسف غزالة  يوسف أغوسطين شاهين غزالة المارونى الحلبى: عارف باللغة. من رجال الرهبنة المارونية. أصله من حلب. وإقامته فى إيطالية. عكف فى دير (ماريوحنا كربورا) بمدينة (نابلى) على الاشتغال باللغة ومفرداتها. وكان يحسن عدة لغات، منها التركية والفارسية. رأيت فى (المكتبة العامة) بنابلى Bibioteca Nazionale (Napoli) كتابين من تصنيفه، بخطه، أحدهما (معجم تركى عربى) والثانى (كتاب الترجمان: تركى وعربى وفارسى وتليانى) وفى آخر أحدهما ما يفيد انتهاه من ترتيبه، باختصار، سنة 1735 ولم أجد له ترجمة أو ذكرا فيما وقفت عليه من المصادر. </w:t>
      </w:r>
    </w:p>
    <w:p>
      <w:pPr>
        <w:jc w:val="start"/>
        <w:bidi/>
      </w:pPr>
      <w:r>
        <w:rPr>
          <w:sz w:val="24"/>
          <w:szCs w:val="24"/>
          <w:b w:val="1"/>
          <w:bCs w:val="1"/>
          <w:rtl/>
        </w:rPr>
        <w:t xml:space="preserve">
الأعلام،(دار العلم للملايين - بيروت،2002،ط 15،ج 8،ص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2026-05-14T07:02:54+03:00</dcterms:created>
  <dcterms:modified xsi:type="dcterms:W3CDTF">2026-05-14T07:02:54+03:00</dcterms:modified>
</cp:coreProperties>
</file>

<file path=docProps/custom.xml><?xml version="1.0" encoding="utf-8"?>
<Properties xmlns="http://schemas.openxmlformats.org/officeDocument/2006/custom-properties" xmlns:vt="http://schemas.openxmlformats.org/officeDocument/2006/docPropsVTypes"/>
</file>