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الخزندار
</w:t>
      </w:r>
    </w:p>
    <w:p>
      <w:pPr>
        <w:jc w:val="start"/>
        <w:bidi/>
      </w:pPr>
      <w:r>
        <w:rPr>
          <w:rFonts w:ascii="arial" w:hAnsi="arial" w:eastAsia="arial" w:cs="arial"/>
          <w:sz w:val="28"/>
          <w:szCs w:val="28"/>
          <w:b w:val="1"/>
          <w:bCs w:val="1"/>
          <w:rtl/>
        </w:rPr>
        <w:t xml:space="preserve">الخزندار
</w:t>
      </w:r>
    </w:p>
    <w:p>
      <w:pPr/>
      <w:r>
        <w:rPr/>
        <w:t xml:space="preserve">الخزندار  أحمد بن يحيى الخزندار، أو الخازندار: وال يماني، من أصل تركي. مولده ووفاته بصنعاء. ولى بندر (المخا) للمتوكل القاسم بن الحسين، ثم ولاه مدينة صنعاء. وأعيد إلى المخا. وفي أيامه احتل الفرنسيون (المخا) وفتكوا بكثير من أهلها، وقام جندي يماني قيل أنه مجنون، فضرب قائدهم بالسيف فقتله عنوة، وانتهى أمر الفرنسيين بالخذلان. ويقول العباس بن علي الموسوي إنه ألف كتابه (نزهة الجليس - ط) خدمة لصاحب الترجمة. </w:t>
      </w:r>
    </w:p>
    <w:p>
      <w:pPr>
        <w:jc w:val="start"/>
        <w:bidi/>
      </w:pPr>
      <w:r>
        <w:rPr>
          <w:sz w:val="24"/>
          <w:szCs w:val="24"/>
          <w:b w:val="1"/>
          <w:bCs w:val="1"/>
          <w:rtl/>
        </w:rPr>
        <w:t xml:space="preserve">
الأعلام،(دار العلم للملايين - بيروت،2002،ط 15،ج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2026-07-04T21:09:10+03:00</dcterms:created>
  <dcterms:modified xsi:type="dcterms:W3CDTF">2026-07-04T21:09:10+03:00</dcterms:modified>
</cp:coreProperties>
</file>

<file path=docProps/custom.xml><?xml version="1.0" encoding="utf-8"?>
<Properties xmlns="http://schemas.openxmlformats.org/officeDocument/2006/custom-properties" xmlns:vt="http://schemas.openxmlformats.org/officeDocument/2006/docPropsVTypes"/>
</file>