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حبناء
</w:t>
      </w:r>
    </w:p>
    <w:p>
      <w:pPr/>
      <w:r>
        <w:rPr/>
        <w:t xml:space="preserve">ابن حبناء  يزيد بن عمرو بن ربيعة، من بنى زيد مناة، الحنظلى التميمى: من شعراء العصرالأموى. كان له أخوان، هما: صخر، والمغيرة، وكلاهما شاعر أيضا؛ فربما اختلط على الرواة شعر أحدهم بشعر الآخر. وكان يزيد (صاحب الترجمة) قد خرج مع (الأزارقة) ومن شعره قصيدة مطلعها:</w:t>
      </w:r>
    </w:p>
    <w:p/>
    <w:p>
      <w:pPr/>
      <w:r>
        <w:rPr/>
        <w:t xml:space="preserve">#دعى اللوم، إن العيش ليس بدائمو (حبناء) اسم أمه، نسب إليها، أو لقب غلب على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2026-05-14T11:57:31+03:00</dcterms:created>
  <dcterms:modified xsi:type="dcterms:W3CDTF">2026-05-14T11:57:31+03:00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