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أبو بكر بن أحمد ابن الصائغ الحنبلي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أبو بكر بن أحمد ابن الصائغ الحنبلي
</w:t>
      </w:r>
    </w:p>
    <w:p>
      <w:pPr/>
      <w:r>
        <w:rPr/>
        <w:t xml:space="preserve">الشيخ أبو بكر بن أحمد ابن الصائغ الحنبلي العالم الفاضل صنف الحاشية على تفسير القاضي البيضاوي وسماها الحسام الماضي وإيضاح غوامض القاضي وفي الحقيقة احتوت على علوم جمة وفوائد كثيرة</w:t>
      </w:r>
    </w:p>
    <w:p/>
    <w:p>
      <w:pPr/>
      <w:r>
        <w:rPr/>
        <w:t xml:space="preserve">توفي في سنة أربع عشرة وسبعمائة</w:t>
      </w:r>
    </w:p>
    <w:p/>
    <w:p>
      <w:pPr/>
      <w:r>
        <w:rPr/>
        <w:t xml:space="preserve">من أسامي الكتب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للأدنه وي،(مكتبة العلوم والحكم - المدينة المنورة،1997،ط 1،ج 1،ص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2026-05-26T21:12:03+03:00</dcterms:created>
  <dcterms:modified xsi:type="dcterms:W3CDTF">2026-05-26T21:12:03+03:00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