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ياسين بن أحمد الخياري المدني الأزهري
</w:t>
      </w:r>
    </w:p>
    <w:p>
      <w:pPr>
        <w:jc w:val="start"/>
        <w:bidi/>
      </w:pPr>
      <w:r>
        <w:rPr>
          <w:rFonts w:ascii="arial" w:hAnsi="arial" w:eastAsia="arial" w:cs="arial"/>
          <w:sz w:val="28"/>
          <w:szCs w:val="28"/>
          <w:b w:val="1"/>
          <w:bCs w:val="1"/>
          <w:rtl/>
        </w:rPr>
        <w:t xml:space="preserve">الخياري
</w:t>
      </w:r>
    </w:p>
    <w:p>
      <w:pPr/>
      <w:r>
        <w:rPr/>
        <w:t xml:space="preserve">الخياري  أحمد ياسين بن أحمد الخياري المدني الأزهري: أديب حجازي من العلماء. مولده ووفاته بالمدينة المنورة. تعلم بها وتخرج بالأزهر، فكان من علماء الحرم النبوي. وأنشأ مدرسة التجويد، بالمدينة (1353) وتولى إدارة مكتبة الحرم وعين مديرا عاما لمكتبات المدينة. وصنف 24 كتابا، منها (التحفة الشماء في تاريخ العين الزرقاء - ط) و (أمراء المدينة وحكامها - ط) و (السر الموصول إلى آثار الرسول - ط) و (الأوائل في تاريخ المدينة المنورة - ط) متسلسلا في مجلة المنهل (1379هـ) و (تاريخ المدينة في الشعر قديما وحديثا - خ). </w:t>
      </w:r>
    </w:p>
    <w:p>
      <w:pPr>
        <w:jc w:val="start"/>
        <w:bidi/>
      </w:pPr>
      <w:r>
        <w:rPr>
          <w:sz w:val="24"/>
          <w:szCs w:val="24"/>
          <w:b w:val="1"/>
          <w:bCs w:val="1"/>
          <w:rtl/>
        </w:rPr>
        <w:t xml:space="preserve">
الأعلام،(دار العلم للملايين - بيروت،2002،ط 15،ج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2026-07-04T21:17:07+03:00</dcterms:created>
  <dcterms:modified xsi:type="dcterms:W3CDTF">2026-07-04T21:17:07+03:00</dcterms:modified>
</cp:coreProperties>
</file>

<file path=docProps/custom.xml><?xml version="1.0" encoding="utf-8"?>
<Properties xmlns="http://schemas.openxmlformats.org/officeDocument/2006/custom-properties" xmlns:vt="http://schemas.openxmlformats.org/officeDocument/2006/docPropsVTypes"/>
</file>