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يحيى
</w:t>
      </w:r>
    </w:p>
    <w:p>
      <w:pPr>
        <w:jc w:val="start"/>
        <w:bidi/>
      </w:pPr>
      <w:r>
        <w:rPr>
          <w:rFonts w:ascii="arial" w:hAnsi="arial" w:eastAsia="arial" w:cs="arial"/>
          <w:sz w:val="28"/>
          <w:szCs w:val="28"/>
          <w:b w:val="1"/>
          <w:bCs w:val="1"/>
          <w:rtl/>
        </w:rPr>
        <w:t xml:space="preserve">الشريف يحيى
</w:t>
      </w:r>
    </w:p>
    <w:p>
      <w:pPr/>
      <w:r>
        <w:rPr/>
        <w:t xml:space="preserve">الشريف يحيى  يحيى بن محمد بن أحمد الحسنى التهامى: جد (آل يحيى). وذريته فى قرية (محبوبة) بوادى ضمد (باليمن). تولى أعمال المخلاف السليمانى، أيام الإمام المنصور صاحب صنعاء، فبنى نعاقل حصينة، واختط بعض البقاع، وحمدت سيرته. ومات آيبا من الحج فى قرية (البيض) من أعمال جازان. </w:t>
      </w:r>
    </w:p>
    <w:p>
      <w:pPr>
        <w:jc w:val="start"/>
        <w:bidi/>
      </w:pPr>
      <w:r>
        <w:rPr>
          <w:sz w:val="24"/>
          <w:szCs w:val="24"/>
          <w:b w:val="1"/>
          <w:bCs w:val="1"/>
          <w:rtl/>
        </w:rPr>
        <w:t xml:space="preserve">
الأعلام،(دار العلم للملايين - بيروت،2002،ط 15،ج 8،ص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2026-05-14T15:33:16+03:00</dcterms:created>
  <dcterms:modified xsi:type="dcterms:W3CDTF">2026-05-14T15:33:16+03:00</dcterms:modified>
</cp:coreProperties>
</file>

<file path=docProps/custom.xml><?xml version="1.0" encoding="utf-8"?>
<Properties xmlns="http://schemas.openxmlformats.org/officeDocument/2006/custom-properties" xmlns:vt="http://schemas.openxmlformats.org/officeDocument/2006/docPropsVTypes"/>
</file>