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الأفطس
</w:t>
      </w:r>
    </w:p>
    <w:p>
      <w:pPr>
        <w:jc w:val="start"/>
        <w:bidi/>
      </w:pPr>
      <w:r>
        <w:rPr>
          <w:rFonts w:ascii="arial" w:hAnsi="arial" w:eastAsia="arial" w:cs="arial"/>
          <w:sz w:val="28"/>
          <w:szCs w:val="28"/>
          <w:b w:val="1"/>
          <w:bCs w:val="1"/>
          <w:rtl/>
        </w:rPr>
        <w:t xml:space="preserve">المنصور ابن الأفطس
</w:t>
      </w:r>
    </w:p>
    <w:p>
      <w:pPr/>
      <w:r>
        <w:rPr/>
        <w:t xml:space="preserve">المنصور ابن الأفطس  يحيى بن محمد بن عبد الله، ابن مسلمة التجيبى: من ملوك بنى الأفطس، أصحاب (بطليوس) فى الأندلس. ولى بعد وفاة أبيه (المظفر) وتلقب بالمنصور (سنة 460هـ) وكان أخوه (عمر) الملقب بالمتوكل، عاملا لأبيه فى يابرة (Evora) فاستقبل بها، وانقسمت الدولة قسمين، أحدهما العاصمة (بطليوس) وما حولها من الإمارات الشرقية، فى يد صاحب الترجمة؛ والثانى (يابرة) والإمارات الغربية، فى يد أخيه عمر. واستمر يحيى على ذلك إلى أن توفى.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2026-05-14T17:44:12+03:00</dcterms:created>
  <dcterms:modified xsi:type="dcterms:W3CDTF">2026-05-14T17:44:12+03:00</dcterms:modified>
</cp:coreProperties>
</file>

<file path=docProps/custom.xml><?xml version="1.0" encoding="utf-8"?>
<Properties xmlns="http://schemas.openxmlformats.org/officeDocument/2006/custom-properties" xmlns:vt="http://schemas.openxmlformats.org/officeDocument/2006/docPropsVTypes"/>
</file>