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الأرزني
</w:t>
      </w:r>
    </w:p>
    <w:p>
      <w:pPr>
        <w:jc w:val="start"/>
        <w:bidi/>
      </w:pPr>
      <w:r>
        <w:rPr>
          <w:rFonts w:ascii="arial" w:hAnsi="arial" w:eastAsia="arial" w:cs="arial"/>
          <w:sz w:val="28"/>
          <w:szCs w:val="28"/>
          <w:b w:val="1"/>
          <w:bCs w:val="1"/>
          <w:rtl/>
        </w:rPr>
        <w:t xml:space="preserve">الأرزني
</w:t>
      </w:r>
    </w:p>
    <w:p>
      <w:pPr/>
      <w:r>
        <w:rPr/>
        <w:t xml:space="preserve">الأرزني  يحيى بن محمد الأرزنى، أبو محمد: نحوى بغدادى، من مدرسى اللغة. كان مليح الخط، سريع الكتابة، ينسخ فصيح ثعلب وغيره، ويقتاب بأجرته. له (مختصر) فى النحو. نسبته إلى رزن الروم (بدرياربكر).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الأرزني
</w:t>
      </w:r>
    </w:p>
    <w:p>
      <w:pPr/>
      <w:r>
        <w:rPr/>
        <w:t xml:space="preserve">الأرزني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أبو محمد الأرزني
</w:t>
      </w:r>
    </w:p>
    <w:p>
      <w:pPr/>
      <w:r>
        <w:rPr/>
        <w:t xml:space="preserve">يحيى بن محمد أبو محمد الأرزني: إمام في العربية مليح الخط سريع الكتابة، كان يخرج في وقت العصر إلى سوق الكتب ببغداد فلا يقوم من مجلسه حتى يكتب «الفصيح» لثعلب ويبيعه بنصف دينار، ويشتري نبيذا ولحما وفاكهة، ولا يبيت حتى ينفق ما معه منه.</w:t>
      </w:r>
    </w:p>
    <w:p/>
    <w:p>
      <w:pPr/>
      <w:r>
        <w:rPr/>
        <w:t xml:space="preserve">وله تأليف في النحو مختصر.</w:t>
      </w:r>
    </w:p>
    <w:p/>
    <w:p>
      <w:pPr/>
      <w:r>
        <w:rPr/>
        <w:t xml:space="preserve">مات سنة خمس عشرة وأربعمائة.</w:t>
      </w:r>
    </w:p>
    <w:p/>
    <w:p>
      <w:pPr/>
      <w:r>
        <w:rPr/>
        <w:t xml:space="preserve">ومن شعره:</w:t>
      </w:r>
    </w:p>
    <w:p/>
    <w:p>
      <w:pPr>
        <w:jc w:val="center"/>
      </w:pPr>
      <w:r>
        <w:rPr>
          <w:color w:val="ff0000"/>
        </w:rPr>
        <w:t xml:space="preserve">إن من أحوجك الدهر إليه</w:t>
      </w:r>
      <w:r>
        <w:rPr>
          <w:color w:val="ff0000"/>
        </w:rPr>
        <w:t xml:space="preserve">      </w:t>
      </w:r>
      <w:r>
        <w:rPr>
          <w:color w:val="ff0000"/>
        </w:rPr>
        <w:t xml:space="preserve">وتعلقت به هنت عليه</w:t>
      </w:r>
    </w:p>
    <w:p/>
    <w:p>
      <w:pPr>
        <w:jc w:val="center"/>
      </w:pPr>
      <w:r>
        <w:rPr>
          <w:color w:val="ff0000"/>
        </w:rPr>
        <w:t xml:space="preserve">ليس يصفو ود من واخيته</w:t>
      </w:r>
      <w:r>
        <w:rPr>
          <w:color w:val="ff0000"/>
        </w:rPr>
        <w:t xml:space="preserve">      </w:t>
      </w:r>
      <w:r>
        <w:rPr>
          <w:color w:val="ff0000"/>
        </w:rPr>
        <w:t xml:space="preserve">إن تعرضت لشيء في يديه</w:t>
      </w:r>
    </w:p>
    <w:p/>
    <w:p>
      <w:pPr>
        <w:jc w:val="start"/>
        <w:bidi/>
      </w:pPr>
      <w:r>
        <w:rPr>
          <w:sz w:val="24"/>
          <w:szCs w:val="24"/>
          <w:b w:val="1"/>
          <w:bCs w:val="1"/>
          <w:rtl/>
        </w:rPr>
        <w:t xml:space="preserve">
معجم الأدباء / إرشاد الأريب إلى معرفة الأديب،(دار الغرب الإسلامي - بيروت،1993،ط 0،ج 6،ص 2830)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الأرزني
</w:t>
      </w:r>
    </w:p>
    <w:p>
      <w:pPr/>
      <w:r>
        <w:rPr/>
        <w:t xml:space="preserve">يحيى الأرزني </w:t>
      </w:r>
    </w:p>
    <w:p/>
    <w:p>
      <w:pPr/>
      <w:r>
        <w:rPr/>
        <w:t xml:space="preserve">وأما يحيى بن محمد الأرزني النحوي، فإنه أخذ عن أبي سعيد السيرافي، وحدث عنه أبو الفضل محمد بن عبد العزيز بن المهدي الخطيب.</w:t>
      </w:r>
    </w:p>
    <w:p/>
    <w:p>
      <w:pPr/>
      <w:r>
        <w:rPr/>
        <w:t xml:space="preserve">قال: ثم صنف، ورأيت له مقدمة في النحو لا بأس بها.</w:t>
      </w:r>
    </w:p>
    <w:p/>
    <w:p>
      <w:pPr/>
      <w:r>
        <w:rPr/>
        <w:t xml:space="preserve">وقال: توفي في المحرم سنة خمس عشرة وأربعمائة في خلافة القادر بالله تعالى.</w:t>
      </w:r>
    </w:p>
    <w:p>
      <w:pPr>
        <w:jc w:val="start"/>
        <w:bidi/>
      </w:pPr>
      <w:r>
        <w:rPr>
          <w:sz w:val="24"/>
          <w:szCs w:val="24"/>
          <w:b w:val="1"/>
          <w:bCs w:val="1"/>
          <w:rtl/>
        </w:rPr>
        <w:t xml:space="preserve">
نزهة الألباء في طبقات الأدباء،(مكتبة المنار، الزرقاء - الأردن،1985،ط 3،ج 1،ص 248)/(دار الفكر العربي،1998،ط 1،ج 1،ص 294)/(مطبعة المعارف - بغداد،1959،ط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2026-05-14T17:56:33+03:00</dcterms:created>
  <dcterms:modified xsi:type="dcterms:W3CDTF">2026-05-14T17:56:33+03:00</dcterms:modified>
</cp:coreProperties>
</file>

<file path=docProps/custom.xml><?xml version="1.0" encoding="utf-8"?>
<Properties xmlns="http://schemas.openxmlformats.org/officeDocument/2006/custom-properties" xmlns:vt="http://schemas.openxmlformats.org/officeDocument/2006/docPropsVTypes"/>
</file>