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المنقاري
</w:t>
      </w:r>
    </w:p>
    <w:p>
      <w:pPr>
        <w:jc w:val="start"/>
        <w:bidi/>
      </w:pPr>
      <w:r>
        <w:rPr>
          <w:rFonts w:ascii="arial" w:hAnsi="arial" w:eastAsia="arial" w:cs="arial"/>
          <w:sz w:val="28"/>
          <w:szCs w:val="28"/>
          <w:b w:val="1"/>
          <w:bCs w:val="1"/>
          <w:rtl/>
        </w:rPr>
        <w:t xml:space="preserve">المنقاري
</w:t>
      </w:r>
    </w:p>
    <w:p>
      <w:pPr/>
      <w:r>
        <w:rPr/>
        <w:t xml:space="preserve">المنقاري  يحيى بن عمر المنقارى الرومى: قاض تركى، تصانيفه عربية. ينعت بشيخ الإسلام. درس ودرس بالقسطنطينية. وعين قاضيا لمصر (سنة 1064) ثم قاضيا، فالقسطنطينية. وتولى قضاء العسكر بروم ايلى ثم منصب الفتوى (سنة 1073) مدة طويلة. وتوفى بأسكدار. من كتبه (حاشية على تفسير البيضاوى) و (رسالة الاتباع فى مسألة الاسماع -خ) و (الرسالة المنيرة لأهل البصيرة -خ) و (رسالة فى لا إله إلا الله -خ) و (الفتاوى -خ). </w:t>
      </w:r>
    </w:p>
    <w:p>
      <w:pPr>
        <w:jc w:val="start"/>
        <w:bidi/>
      </w:pPr>
      <w:r>
        <w:rPr>
          <w:sz w:val="24"/>
          <w:szCs w:val="24"/>
          <w:b w:val="1"/>
          <w:bCs w:val="1"/>
          <w:rtl/>
        </w:rPr>
        <w:t xml:space="preserve">
الأعلام،(دار العلم للملايين - بيروت،2002،ط 15،ج 8،ص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2026-05-14T17:01:41+03:00</dcterms:created>
  <dcterms:modified xsi:type="dcterms:W3CDTF">2026-05-14T17:01:41+03:00</dcterms:modified>
</cp:coreProperties>
</file>

<file path=docProps/custom.xml><?xml version="1.0" encoding="utf-8"?>
<Properties xmlns="http://schemas.openxmlformats.org/officeDocument/2006/custom-properties" xmlns:vt="http://schemas.openxmlformats.org/officeDocument/2006/docPropsVTypes"/>
</file>