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مفلح الحنبلي
</w:t>
      </w:r>
    </w:p>
    <w:p>
      <w:pPr>
        <w:jc w:val="start"/>
        <w:bidi/>
      </w:pPr>
      <w:r>
        <w:rPr>
          <w:rFonts w:ascii="arial" w:hAnsi="arial" w:eastAsia="arial" w:cs="arial"/>
          <w:sz w:val="28"/>
          <w:szCs w:val="28"/>
          <w:b w:val="1"/>
          <w:bCs w:val="1"/>
          <w:rtl/>
        </w:rPr>
        <w:t xml:space="preserve">إبراهيم بن عمر بن مفلح الحنبلي
</w:t>
      </w:r>
    </w:p>
    <w:p>
      <w:pPr/>
      <w:r>
        <w:rPr/>
        <w:t xml:space="preserve">إبراهيم بن عمر بن مفلح الحنبلي إبراهيم بن عمر بن إبراهيم العالم البارع القاضي برهان الدين ابن قاضي القضاة، نجم الدين ابن قاضي القضاة برهان الدين ابن مفلح الراميني الحنبلي. ميلاده رابع عشر ربيع الآخر سنة ثلاث وتسعمئة، واشتغل وبرع واستحاز لنفسه ولإخوته ولأولاده جماعة منهم شيخ الإسلام الجد، وشيخ الإسلام الشيخ العلامة السيد كمال الدين بن حمزة، وشيخ الإسلام الوالد، وصورة ما كتبه تحت خط أبيه:</w:t>
      </w:r>
    </w:p>
    <w:p/>
    <w:p>
      <w:pPr>
        <w:jc w:val="center"/>
      </w:pPr>
      <w:r>
        <w:rPr>
          <w:color w:val="ff0000"/>
        </w:rPr>
        <w:t xml:space="preserve">أجزتهم ما جاز لي روايتي</w:t>
      </w:r>
      <w:r>
        <w:rPr>
          <w:color w:val="ff0000"/>
        </w:rPr>
        <w:t xml:space="preserve">      </w:t>
      </w:r>
      <w:r>
        <w:rPr>
          <w:color w:val="ff0000"/>
        </w:rPr>
        <w:t xml:space="preserve">له عن الأئمة الأعلام</w:t>
      </w:r>
    </w:p>
    <w:p/>
    <w:p>
      <w:pPr>
        <w:jc w:val="center"/>
      </w:pPr>
      <w:r>
        <w:rPr>
          <w:color w:val="ff0000"/>
        </w:rPr>
        <w:t xml:space="preserve">وكل ما لي من تآليف ومن</w:t>
      </w:r>
      <w:r>
        <w:rPr>
          <w:color w:val="ff0000"/>
        </w:rPr>
        <w:t xml:space="preserve">      </w:t>
      </w:r>
      <w:r>
        <w:rPr>
          <w:color w:val="ff0000"/>
        </w:rPr>
        <w:t xml:space="preserve">نثر ونظم صاغه كلامي</w:t>
      </w:r>
    </w:p>
    <w:p/>
    <w:p>
      <w:pPr>
        <w:jc w:val="center"/>
      </w:pPr>
      <w:r>
        <w:rPr>
          <w:color w:val="ff0000"/>
        </w:rPr>
        <w:t xml:space="preserve">وهو عجيب الوضع والنظم وفي</w:t>
      </w:r>
      <w:r>
        <w:rPr>
          <w:color w:val="ff0000"/>
        </w:rPr>
        <w:t xml:space="preserve">      </w:t>
      </w:r>
      <w:r>
        <w:rPr>
          <w:color w:val="ff0000"/>
        </w:rPr>
        <w:t xml:space="preserve">عذوبة اللفظ والانسجام</w:t>
      </w:r>
    </w:p>
    <w:p/>
    <w:p>
      <w:pPr>
        <w:jc w:val="center"/>
      </w:pPr>
      <w:r>
        <w:rPr>
          <w:color w:val="ff0000"/>
        </w:rPr>
        <w:t xml:space="preserve">أيضا وفتح المغلق العجيب قد</w:t>
      </w:r>
      <w:r>
        <w:rPr>
          <w:color w:val="ff0000"/>
        </w:rPr>
        <w:t xml:space="preserve">      </w:t>
      </w:r>
      <w:r>
        <w:rPr>
          <w:color w:val="ff0000"/>
        </w:rPr>
        <w:t xml:space="preserve">أشرف تأليفا على التمام</w:t>
      </w:r>
    </w:p>
    <w:p/>
    <w:p>
      <w:pPr>
        <w:jc w:val="center"/>
      </w:pPr>
      <w:r>
        <w:rPr>
          <w:color w:val="ff0000"/>
        </w:rPr>
        <w:t xml:space="preserve">أيضا وفي شرح على منظومة</w:t>
      </w:r>
      <w:r>
        <w:rPr>
          <w:color w:val="ff0000"/>
        </w:rPr>
        <w:t xml:space="preserve">      </w:t>
      </w:r>
      <w:r>
        <w:rPr>
          <w:color w:val="ff0000"/>
        </w:rPr>
        <w:t xml:space="preserve">الوالد في الأصول والأحكام</w:t>
      </w:r>
    </w:p>
    <w:p/>
    <w:p>
      <w:pPr>
        <w:jc w:val="center"/>
      </w:pPr>
      <w:r>
        <w:rPr>
          <w:color w:val="ff0000"/>
        </w:rPr>
        <w:t xml:space="preserve">وغير ما ذكرته ومولدي</w:t>
      </w:r>
      <w:r>
        <w:rPr>
          <w:color w:val="ff0000"/>
        </w:rPr>
        <w:t xml:space="preserve">      </w:t>
      </w:r>
      <w:r>
        <w:rPr>
          <w:color w:val="ff0000"/>
        </w:rPr>
        <w:t xml:space="preserve">رابع عشر القعدة الحرام</w:t>
      </w:r>
    </w:p>
    <w:p/>
    <w:p>
      <w:pPr>
        <w:jc w:val="center"/>
      </w:pPr>
      <w:r>
        <w:rPr>
          <w:color w:val="ff0000"/>
        </w:rPr>
        <w:t xml:space="preserve">سنة أربع وتسعمئة</w:t>
      </w:r>
      <w:r>
        <w:rPr>
          <w:color w:val="ff0000"/>
        </w:rPr>
        <w:t xml:space="preserve">      </w:t>
      </w:r>
      <w:r>
        <w:rPr>
          <w:color w:val="ff0000"/>
        </w:rPr>
        <w:t xml:space="preserve">من هجرة المبعوث للأنام</w:t>
      </w:r>
    </w:p>
    <w:p/>
    <w:p>
      <w:pPr>
        <w:jc w:val="center"/>
      </w:pPr>
      <w:r>
        <w:rPr>
          <w:color w:val="ff0000"/>
        </w:rPr>
        <w:t xml:space="preserve">وزكريا الحبر شيخي أولا</w:t>
      </w:r>
      <w:r>
        <w:rPr>
          <w:color w:val="ff0000"/>
        </w:rPr>
        <w:t xml:space="preserve">      </w:t>
      </w:r>
      <w:r>
        <w:rPr>
          <w:color w:val="ff0000"/>
        </w:rPr>
        <w:t xml:space="preserve">كابن أبي شريف العلام</w:t>
      </w:r>
    </w:p>
    <w:p/>
    <w:p>
      <w:pPr>
        <w:jc w:val="center"/>
      </w:pPr>
      <w:r>
        <w:rPr>
          <w:color w:val="ff0000"/>
        </w:rPr>
        <w:t xml:space="preserve">ثم أبو الفتح السكندري في</w:t>
      </w:r>
      <w:r>
        <w:rPr>
          <w:color w:val="ff0000"/>
        </w:rPr>
        <w:t xml:space="preserve">      </w:t>
      </w:r>
      <w:r>
        <w:rPr>
          <w:color w:val="ff0000"/>
        </w:rPr>
        <w:t xml:space="preserve">طريقة الصوفية الكرام</w:t>
      </w:r>
    </w:p>
    <w:p/>
    <w:p>
      <w:pPr>
        <w:jc w:val="center"/>
      </w:pPr>
      <w:r>
        <w:rPr>
          <w:color w:val="ff0000"/>
        </w:rPr>
        <w:t xml:space="preserve">وشيخ الإسلام الإمام والدي</w:t>
      </w:r>
      <w:r>
        <w:rPr>
          <w:color w:val="ff0000"/>
        </w:rPr>
        <w:t xml:space="preserve">      </w:t>
      </w:r>
      <w:r>
        <w:rPr>
          <w:color w:val="ff0000"/>
        </w:rPr>
        <w:t xml:space="preserve">وخطه ولفظه أمامي</w:t>
      </w:r>
    </w:p>
    <w:p/>
    <w:p>
      <w:pPr>
        <w:jc w:val="center"/>
      </w:pPr>
      <w:r>
        <w:rPr>
          <w:color w:val="ff0000"/>
        </w:rPr>
        <w:t xml:space="preserve">والتقوى الزرعي شيخنا</w:t>
      </w:r>
      <w:r>
        <w:rPr>
          <w:color w:val="ff0000"/>
        </w:rPr>
        <w:t xml:space="preserve">      </w:t>
      </w:r>
      <w:r>
        <w:rPr>
          <w:color w:val="ff0000"/>
        </w:rPr>
        <w:t xml:space="preserve">وشيخ الإسلام بأرض الشام</w:t>
      </w:r>
    </w:p>
    <w:p/>
    <w:p>
      <w:pPr>
        <w:jc w:val="center"/>
      </w:pPr>
      <w:r>
        <w:rPr>
          <w:color w:val="ff0000"/>
        </w:rPr>
        <w:t xml:space="preserve">ثم أنا محمد وشهرتي</w:t>
      </w:r>
      <w:r>
        <w:rPr>
          <w:color w:val="ff0000"/>
        </w:rPr>
        <w:t xml:space="preserve">      </w:t>
      </w:r>
      <w:r>
        <w:rPr>
          <w:color w:val="ff0000"/>
        </w:rPr>
        <w:t xml:space="preserve">الغزي ثم الشافعي إمامي</w:t>
      </w:r>
    </w:p>
    <w:p/>
    <w:p>
      <w:pPr>
        <w:jc w:val="center"/>
      </w:pPr>
      <w:r>
        <w:rPr>
          <w:color w:val="ff0000"/>
        </w:rPr>
        <w:t xml:space="preserve">والقرشي العامري نسبتي</w:t>
      </w:r>
      <w:r>
        <w:rPr>
          <w:color w:val="ff0000"/>
        </w:rPr>
        <w:t xml:space="preserve">      </w:t>
      </w:r>
      <w:r>
        <w:rPr>
          <w:color w:val="ff0000"/>
        </w:rPr>
        <w:t xml:space="preserve">مؤمل الحسنى في الاختتام</w:t>
      </w:r>
    </w:p>
    <w:p/>
    <w:p>
      <w:pPr>
        <w:jc w:val="center"/>
      </w:pPr>
      <w:r>
        <w:rPr>
          <w:color w:val="ff0000"/>
        </w:rPr>
        <w:t xml:space="preserve">رقمته بسرعة في خامس</w:t>
      </w:r>
      <w:r>
        <w:rPr>
          <w:color w:val="ff0000"/>
        </w:rPr>
        <w:t xml:space="preserve">      </w:t>
      </w:r>
      <w:r>
        <w:rPr>
          <w:color w:val="ff0000"/>
        </w:rPr>
        <w:t xml:space="preserve">العشر من المحرم الحرام</w:t>
      </w:r>
    </w:p>
    <w:p/>
    <w:p>
      <w:pPr>
        <w:jc w:val="center"/>
      </w:pPr>
      <w:r>
        <w:rPr>
          <w:color w:val="ff0000"/>
        </w:rPr>
        <w:t xml:space="preserve">سنة خمس وثلاثين وتسعمئة</w:t>
      </w:r>
      <w:r>
        <w:rPr>
          <w:color w:val="ff0000"/>
        </w:rPr>
        <w:t xml:space="preserve">      </w:t>
      </w:r>
      <w:r>
        <w:rPr>
          <w:color w:val="ff0000"/>
        </w:rPr>
        <w:t xml:space="preserve">خلت من الأعوام</w:t>
      </w:r>
    </w:p>
    <w:p/>
    <w:p>
      <w:pPr>
        <w:jc w:val="center"/>
      </w:pPr>
      <w:r>
        <w:rPr>
          <w:color w:val="ff0000"/>
        </w:rPr>
        <w:t xml:space="preserve">من بعد حمد الله مع صلاته</w:t>
      </w:r>
      <w:r>
        <w:rPr>
          <w:color w:val="ff0000"/>
        </w:rPr>
        <w:t xml:space="preserve">      </w:t>
      </w:r>
      <w:r>
        <w:rPr>
          <w:color w:val="ff0000"/>
        </w:rPr>
        <w:t xml:space="preserve">على شفيع الخلق والسلام</w:t>
      </w:r>
    </w:p>
    <w:p/>
    <w:p>
      <w:pPr/>
      <w:r>
        <w:rPr/>
        <w:t xml:space="preserve">وذكره شيخ الإسلام الوالد في فهرست تلاميذه. وقال: حضر كثيرا من دروسي في شرح منظومة الوالد شيخ الإسلام المسمى بالعقد الجامع، في شرح الدرر اللوامع، وفي التقاسيم للمنهاج وغيره، وأجزته وكتب لي شرحي المنظوم على ألفية ابن مالك انتهى. ودرس القاضي برهان الدين وأفتى وولي تدريس دار الحديث المخصوصة بالحنابلة بالصالحية، ونظرها وناب في القضاء مرارا، ولم تحمد سيرته وكان يسفه على الخصوم وانتهت إليه رئاسة الحنابلة بدمشق، وكان له شهامة وحشمة وحسن هيئة. وقال: والد شيخنا كان ذكيا مستحضرا لفروع مذهبه. وولي القضاء، ولحقه في آخر عمره قهر. وقال: إنه كان رئيسا يعرف الناس، ويرعى مقاديرهم. مات ليلة الإثنين ثالث أو رابع عشري شعبان سنة تسع بتقديم التاء وستين وتسعمئة وصلى عليه الوالد من الغد إماما بالجامع الأموي ودفن بسفح قاسيون بالروضة عند والده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2026-05-31T20:30:19+03:00</dcterms:created>
  <dcterms:modified xsi:type="dcterms:W3CDTF">2026-05-31T20:30:19+03:00</dcterms:modified>
</cp:coreProperties>
</file>

<file path=docProps/custom.xml><?xml version="1.0" encoding="utf-8"?>
<Properties xmlns="http://schemas.openxmlformats.org/officeDocument/2006/custom-properties" xmlns:vt="http://schemas.openxmlformats.org/officeDocument/2006/docPropsVTypes"/>
</file>