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النور
</w:t>
      </w:r>
    </w:p>
    <w:p>
      <w:pPr>
        <w:jc w:val="start"/>
        <w:bidi/>
      </w:pPr>
      <w:r>
        <w:rPr>
          <w:rFonts w:ascii="arial" w:hAnsi="arial" w:eastAsia="arial" w:cs="arial"/>
          <w:sz w:val="28"/>
          <w:szCs w:val="28"/>
          <w:b w:val="1"/>
          <w:bCs w:val="1"/>
          <w:rtl/>
        </w:rPr>
        <w:t xml:space="preserve">ابن النور
</w:t>
      </w:r>
    </w:p>
    <w:p>
      <w:pPr/>
      <w:r>
        <w:rPr/>
        <w:t xml:space="preserve">ابن النور  يحيى بن عبد الرحمن الجعفري الطياري البغدادي، نظام الدين ابن الحكيم نور الدين، و يعرف بابن النور و بابن الحكيم: موسيقي، من كبار الخطاطين في عصره. وكان ابوه متميزا في صناعة الكحل (طب العيون) وكثر ماله، فاشتغل ابنه (صاحب الترجمة) بالحديث و الادب و تجويد الخط. واستكتبه الحكام. وحج فدخل القاهرة في ايام الملك الناصر. ثم عاد فمر بدمشق، فاعطي مشيخة الربوة، فاقام بها مدة. ورجع إلى بغداد فكانت الكتب تصدر عن حكامها إلى ديوان الانشاء بمصر، بخطه ز وتوفي ببغداد زقال الصفدي: وكان استاذا في علم الموسيقى، له فيه اقوال و اعمال ينقلها عنه ارباب هذا الفن بالشام و مصر. له نظم حسن. </w:t>
      </w:r>
    </w:p>
    <w:p>
      <w:pPr>
        <w:jc w:val="start"/>
        <w:bidi/>
      </w:pPr>
      <w:r>
        <w:rPr>
          <w:sz w:val="24"/>
          <w:szCs w:val="24"/>
          <w:b w:val="1"/>
          <w:bCs w:val="1"/>
          <w:rtl/>
        </w:rPr>
        <w:t xml:space="preserve">
الأعلام،(دار العلم للملايين - بيروت،2002،ط 15،ج 8،ص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2026-05-14T18:44:09+03:00</dcterms:created>
  <dcterms:modified xsi:type="dcterms:W3CDTF">2026-05-14T18:44:09+03:00</dcterms:modified>
</cp:coreProperties>
</file>

<file path=docProps/custom.xml><?xml version="1.0" encoding="utf-8"?>
<Properties xmlns="http://schemas.openxmlformats.org/officeDocument/2006/custom-properties" xmlns:vt="http://schemas.openxmlformats.org/officeDocument/2006/docPropsVTypes"/>
</file>