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الجيعان
</w:t>
      </w:r>
    </w:p>
    <w:p>
      <w:pPr>
        <w:jc w:val="start"/>
        <w:bidi/>
      </w:pPr>
      <w:r>
        <w:rPr>
          <w:rFonts w:ascii="arial" w:hAnsi="arial" w:eastAsia="arial" w:cs="arial"/>
          <w:sz w:val="28"/>
          <w:szCs w:val="28"/>
          <w:b w:val="1"/>
          <w:bCs w:val="1"/>
          <w:rtl/>
        </w:rPr>
        <w:t xml:space="preserve">ابن الجيعان
</w:t>
      </w:r>
    </w:p>
    <w:p>
      <w:pPr/>
      <w:r>
        <w:rPr/>
        <w:t xml:space="preserve">ابن الجيعان  يحيى بن شاكر بن عبد الغني بن شاكر ابن ماجد، أبو زكريا، شرف الدين ابن الجيعان: فاضل. كان مستوفي ديوان الجيش بمصر. وله اشتغال بعلوم عصره. أفاض السخاوي في الثناء عليه، ولم يذكر له تأليفا. أصله من دمياط، ومولده ووفاته بالقاهرة. وهو صاحب كتاب (التحفة السنية بأسماء البلاد المصرية –ط) ولعل من تأليفه (القول المستظرف في سفر مولانا الملك الأشرف –ط) ويسمى (تاريخ قايتنباي) كما هو في طبعة أخرى. وجعل صاحب هدية العارفين الكتابين (التحفة، والقول المستظرف) من تأليف ابنه (أحمد بن يحيى) المتقدمة ترجمته). </w:t>
      </w:r>
    </w:p>
    <w:p>
      <w:pPr>
        <w:jc w:val="start"/>
        <w:bidi/>
      </w:pPr>
      <w:r>
        <w:rPr>
          <w:sz w:val="24"/>
          <w:szCs w:val="24"/>
          <w:b w:val="1"/>
          <w:bCs w:val="1"/>
          <w:rtl/>
        </w:rPr>
        <w:t xml:space="preserve">
الأعلام،(دار العلم للملايين - بيروت،2002،ط 15،ج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2026-05-14T18:44:55+03:00</dcterms:created>
  <dcterms:modified xsi:type="dcterms:W3CDTF">2026-05-14T18:44:55+03:00</dcterms:modified>
</cp:coreProperties>
</file>

<file path=docProps/custom.xml><?xml version="1.0" encoding="utf-8"?>
<Properties xmlns="http://schemas.openxmlformats.org/officeDocument/2006/custom-properties" xmlns:vt="http://schemas.openxmlformats.org/officeDocument/2006/docPropsVTypes"/>
</file>