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القاري
</w:t>
      </w:r>
    </w:p>
    <w:p>
      <w:pPr>
        <w:jc w:val="start"/>
        <w:bidi/>
      </w:pPr>
      <w:r>
        <w:rPr>
          <w:rFonts w:ascii="arial" w:hAnsi="arial" w:eastAsia="arial" w:cs="arial"/>
          <w:sz w:val="28"/>
          <w:szCs w:val="28"/>
          <w:b w:val="1"/>
          <w:bCs w:val="1"/>
          <w:rtl/>
        </w:rPr>
        <w:t xml:space="preserve">أحمد بن علي القاري
</w:t>
      </w:r>
    </w:p>
    <w:p>
      <w:pPr/>
      <w:r>
        <w:rPr/>
        <w:t xml:space="preserve">أحمد بن علي القاري أحمد بن علي المولى، العلامة محيي الدين ابن المولي علاء الدين القاري أحد الموالي الرومية. قرأ على علماء عصره، ثم رحل إلى العجم، وقرأ على علماء سمرقند وبخارى، ثم عاد إلى الروم، فأعطاه السلطان سليم خان مدرسة الوزير قاسم باشا، وكان محبا للصوفية سيما الوفائية، مكبا على العلم، اطلع على كتب كثيرة، وحفظ أكثر لطائفها ونوادرها، وكان يحفظ التواريخ، وحكايات الصالحين. صنف تهذيب الكافية في النحو وشرحه وحاشية على شرح هداية الحكمة لمولانا زاده وحواشي على شرح التجريد للسيد، وتفسير سورة الضحى وسماه تنوير الضحى وغير ذلك من الرسائل والتعليقات، وتوفي سنة أربعين وتسعمئة.</w:t>
      </w:r>
    </w:p>
    <w:p>
      <w:pPr>
        <w:jc w:val="start"/>
        <w:bidi/>
      </w:pPr>
      <w:r>
        <w:rPr>
          <w:sz w:val="24"/>
          <w:szCs w:val="24"/>
          <w:b w:val="1"/>
          <w:bCs w:val="1"/>
          <w:rtl/>
        </w:rPr>
        <w:t xml:space="preserve">
الكواكب السائرة بأعيان المئة العاشرة،(دار الكتب العلمية - بيروت،1977،ط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2026-05-06T19:02:30+03:00</dcterms:created>
  <dcterms:modified xsi:type="dcterms:W3CDTF">2026-05-06T19:02:30+03:00</dcterms:modified>
</cp:coreProperties>
</file>

<file path=docProps/custom.xml><?xml version="1.0" encoding="utf-8"?>
<Properties xmlns="http://schemas.openxmlformats.org/officeDocument/2006/custom-properties" xmlns:vt="http://schemas.openxmlformats.org/officeDocument/2006/docPropsVTypes"/>
</file>