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زعيم الدين
</w:t>
      </w:r>
    </w:p>
    <w:p>
      <w:pPr>
        <w:jc w:val="start"/>
        <w:bidi/>
      </w:pPr>
      <w:r>
        <w:rPr>
          <w:rFonts w:ascii="arial" w:hAnsi="arial" w:eastAsia="arial" w:cs="arial"/>
          <w:sz w:val="28"/>
          <w:szCs w:val="28"/>
          <w:b w:val="1"/>
          <w:bCs w:val="1"/>
          <w:rtl/>
        </w:rPr>
        <w:t xml:space="preserve">زعيم الدين
</w:t>
      </w:r>
    </w:p>
    <w:p>
      <w:pPr/>
      <w:r>
        <w:rPr/>
        <w:t xml:space="preserve">زعيم الدين  يحيى بن جعفر (أو ابن عبد الله) بن محمد بن المعمر، أبو الفضل، زعيم الدين: فاضل، من الوجوه الأعيان في الدولة العباسية. كان صاحب المخزن للخلفاء المقتفى والمستنجد والمستضئ. وحج بالناس عدة سنين، والحكم إليه في الطريق. وناب في الوزارة، وتنقل في الأعمال أكثر من عشرين سنة. وتوفي ببغداد. </w:t>
      </w:r>
    </w:p>
    <w:p>
      <w:pPr>
        <w:jc w:val="start"/>
        <w:bidi/>
      </w:pPr>
      <w:r>
        <w:rPr>
          <w:sz w:val="24"/>
          <w:szCs w:val="24"/>
          <w:b w:val="1"/>
          <w:bCs w:val="1"/>
          <w:rtl/>
        </w:rPr>
        <w:t xml:space="preserve">
الأعلام،(دار العلم للملايين - بيروت،2002،ط 15،ج 8،ص 140)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2026-05-14T19:45:56+03:00</dcterms:created>
  <dcterms:modified xsi:type="dcterms:W3CDTF">2026-05-14T19:45:56+03:00</dcterms:modified>
</cp:coreProperties>
</file>

<file path=docProps/custom.xml><?xml version="1.0" encoding="utf-8"?>
<Properties xmlns="http://schemas.openxmlformats.org/officeDocument/2006/custom-properties" xmlns:vt="http://schemas.openxmlformats.org/officeDocument/2006/docPropsVTypes"/>
</file>