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الفرضي
</w:t>
      </w:r>
    </w:p>
    <w:p>
      <w:pPr>
        <w:jc w:val="start"/>
        <w:bidi/>
      </w:pPr>
      <w:r>
        <w:rPr>
          <w:rFonts w:ascii="arial" w:hAnsi="arial" w:eastAsia="arial" w:cs="arial"/>
          <w:sz w:val="28"/>
          <w:szCs w:val="28"/>
          <w:b w:val="1"/>
          <w:bCs w:val="1"/>
          <w:rtl/>
        </w:rPr>
        <w:t xml:space="preserve">الفرضي
</w:t>
      </w:r>
    </w:p>
    <w:p>
      <w:pPr/>
      <w:r>
        <w:rPr/>
        <w:t xml:space="preserve">الفرضي  يحيى بن تقي الدين بن إسماعيل بن عبادة ابن هبة الله، الشافعي الحلبي ثم الدمشقي، الشهير بالفرضي: عالم بالحساب والفرائض، له معرفة بالهندسة. ولد بمدينة (سرمين) ونشأ وتعلم بحلب، وأقام وتوفي بدمشق. له كتب، منها (الكافي المجموع، شرح كفاية القنوع –خ) شرح به مختصر السبط المارديني لمجموع الكلائي، في الفرائض والمواريث، وفرغ من تأليفه سنة 1026 و (شرح المنهاج) للنووي، و (شرح منظومة الجعبري) في الفرائض، وله نظم وألغاز. </w:t>
      </w:r>
    </w:p>
    <w:p>
      <w:pPr>
        <w:jc w:val="start"/>
        <w:bidi/>
      </w:pPr>
      <w:r>
        <w:rPr>
          <w:sz w:val="24"/>
          <w:szCs w:val="24"/>
          <w:b w:val="1"/>
          <w:bCs w:val="1"/>
          <w:rtl/>
        </w:rPr>
        <w:t xml:space="preserve">
الأعلام،(دار العلم للملايين - بيروت،2002،ط 15،ج 8،ص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2026-05-14T20:55:01+03:00</dcterms:created>
  <dcterms:modified xsi:type="dcterms:W3CDTF">2026-05-14T20:55:01+03:00</dcterms:modified>
</cp:coreProperties>
</file>

<file path=docProps/custom.xml><?xml version="1.0" encoding="utf-8"?>
<Properties xmlns="http://schemas.openxmlformats.org/officeDocument/2006/custom-properties" xmlns:vt="http://schemas.openxmlformats.org/officeDocument/2006/docPropsVTypes"/>
</file>