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الرسولي
</w:t>
      </w:r>
    </w:p>
    <w:p>
      <w:pPr>
        <w:jc w:val="start"/>
        <w:bidi/>
      </w:pPr>
      <w:r>
        <w:rPr>
          <w:rFonts w:ascii="arial" w:hAnsi="arial" w:eastAsia="arial" w:cs="arial"/>
          <w:sz w:val="28"/>
          <w:szCs w:val="28"/>
          <w:b w:val="1"/>
          <w:bCs w:val="1"/>
          <w:rtl/>
        </w:rPr>
        <w:t xml:space="preserve">الظاهر الرسولي
</w:t>
      </w:r>
    </w:p>
    <w:p>
      <w:pPr/>
      <w:r>
        <w:rPr/>
        <w:t xml:space="preserve">الظاهر الرسولي  يحيى بن إسماعيل بن العباس بن علي، الملك الظاهر ابن الأشرف الأول الرسولي: من ملوك الدولة الرسولية في اليمن، يكنى هزبر الدين. ملك سنة 830 بعد خلع ابن أخيه (إسماعيل بن أحمد بن إسماعيل) وانتظم له أمرها، فاستمر إلى أن توفي بزبيد. ودفن بتعز. وكان عاقلا مدبرا محمود السيرة، عمر مدرسة بتعز، وأخرى بعدن، وأجرى عليهما أوقافا كبيرة. ويقال: كان مدعيا في العلوم، يتكلف في أوراقه السجع الملحون. </w:t>
      </w:r>
    </w:p>
    <w:p>
      <w:pPr>
        <w:jc w:val="start"/>
        <w:bidi/>
      </w:pPr>
      <w:r>
        <w:rPr>
          <w:sz w:val="24"/>
          <w:szCs w:val="24"/>
          <w:b w:val="1"/>
          <w:bCs w:val="1"/>
          <w:rtl/>
        </w:rPr>
        <w:t xml:space="preserve">
الأعلام،(دار العلم للملايين - بيروت،2002،ط 15،ج 8،ص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2026-05-14T20:58:50+03:00</dcterms:created>
  <dcterms:modified xsi:type="dcterms:W3CDTF">2026-05-14T20:58:50+03:00</dcterms:modified>
</cp:coreProperties>
</file>

<file path=docProps/custom.xml><?xml version="1.0" encoding="utf-8"?>
<Properties xmlns="http://schemas.openxmlformats.org/officeDocument/2006/custom-properties" xmlns:vt="http://schemas.openxmlformats.org/officeDocument/2006/docPropsVTypes"/>
</file>