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ناشي
</w:t>
      </w:r>
    </w:p>
    <w:p>
      <w:pPr>
        <w:jc w:val="start"/>
        <w:bidi/>
      </w:pPr>
      <w:r>
        <w:rPr>
          <w:rFonts w:ascii="arial" w:hAnsi="arial" w:eastAsia="arial" w:cs="arial"/>
          <w:sz w:val="28"/>
          <w:szCs w:val="28"/>
          <w:b w:val="1"/>
          <w:bCs w:val="1"/>
          <w:rtl/>
        </w:rPr>
        <w:t xml:space="preserve">محمد بن ناشي
</w:t>
      </w:r>
    </w:p>
    <w:p>
      <w:pPr/>
      <w:r>
        <w:rPr/>
        <w:t xml:space="preserve">محمد بن ناشي محمد بن ناشي: محمد بن ناشي الشيخ بدر الدين الكتبي الحنفي. كان مصاحبا للسلطان الغوري، ملتحقا به، ونال بصحبته مرتبات ووظائف، وأثرى وقوي بأسه، وتولى إعادة المدرسة الجانبكية، وسافر مع السلطان الغوري إلى دمشق، ثم إلى حلب، وتوفي بها يوم الخميس في ثامن رجب سنة إحدى وعشرين وتسعمئة، ودفن في تاسعه بها.</w:t>
      </w:r>
    </w:p>
    <w:p>
      <w:pPr>
        <w:jc w:val="start"/>
        <w:bidi/>
      </w:pPr>
      <w:r>
        <w:rPr>
          <w:sz w:val="24"/>
          <w:szCs w:val="24"/>
          <w:b w:val="1"/>
          <w:bCs w:val="1"/>
          <w:rtl/>
        </w:rPr>
        <w:t xml:space="preserve">
الكواكب السائرة بأعيان المئة العاشرة،(دار الكتب العلمية - بيروت،1977،ط 1،ج 1،ص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2026-05-13T17:32:20+03:00</dcterms:created>
  <dcterms:modified xsi:type="dcterms:W3CDTF">2026-05-13T17:32:20+03:00</dcterms:modified>
</cp:coreProperties>
</file>

<file path=docProps/custom.xml><?xml version="1.0" encoding="utf-8"?>
<Properties xmlns="http://schemas.openxmlformats.org/officeDocument/2006/custom-properties" xmlns:vt="http://schemas.openxmlformats.org/officeDocument/2006/docPropsVTypes"/>
</file>