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غرس الدين
</w:t>
      </w:r>
    </w:p>
    <w:p>
      <w:pPr>
        <w:jc w:val="start"/>
        <w:bidi/>
      </w:pPr>
      <w:r>
        <w:rPr>
          <w:rFonts w:ascii="arial" w:hAnsi="arial" w:eastAsia="arial" w:cs="arial"/>
          <w:sz w:val="28"/>
          <w:szCs w:val="28"/>
          <w:b w:val="1"/>
          <w:bCs w:val="1"/>
          <w:rtl/>
        </w:rPr>
        <w:t xml:space="preserve">ابن غرس الدين
</w:t>
      </w:r>
    </w:p>
    <w:p>
      <w:pPr/>
      <w:r>
        <w:rPr/>
        <w:t xml:space="preserve">ابن غرس الدين  ياسين بن محمد الخليلي، ويعرف بابن غرس الدين، وبالخطيب الخليلي: فاضل، من أهل المدينة. أصله من بلد الخليل (بفلسطين) ربى في حجر عمه (غرس الدين) بالمدينة، فنسب إليه. ورحل إلى مصر والشام. وتولى التدريس والخطابة والإمامة في المسجد النبوي، بعد وفاة عمه (سنة 1057 أو 1058) له (شرح) على ألفية العراقي في السير، مجلدان، و (شرح رياض الصالحين) للنووي، لم يكمله، و (تذكرة) شحنها بالفوائد، من نظم ونثر. اجتمع به العياشي (صاحب الرحلة) سنة 1065 بمكة، حاجا، ثم بالمدينة. </w:t>
      </w:r>
    </w:p>
    <w:p>
      <w:pPr>
        <w:jc w:val="start"/>
        <w:bidi/>
      </w:pPr>
      <w:r>
        <w:rPr>
          <w:sz w:val="24"/>
          <w:szCs w:val="24"/>
          <w:b w:val="1"/>
          <w:bCs w:val="1"/>
          <w:rtl/>
        </w:rPr>
        <w:t xml:space="preserve">
الأعلام،(دار العلم للملايين - بيروت،2002،ط 15،ج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2026-05-14T22:08:52+03:00</dcterms:created>
  <dcterms:modified xsi:type="dcterms:W3CDTF">2026-05-14T22:08:52+03:00</dcterms:modified>
</cp:coreProperties>
</file>

<file path=docProps/custom.xml><?xml version="1.0" encoding="utf-8"?>
<Properties xmlns="http://schemas.openxmlformats.org/officeDocument/2006/custom-properties" xmlns:vt="http://schemas.openxmlformats.org/officeDocument/2006/docPropsVTypes"/>
</file>