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عبد الله بن عبد الحكم
</w:t>
      </w:r>
    </w:p>
    <w:p>
      <w:pPr>
        <w:jc w:val="start"/>
        <w:bidi/>
      </w:pPr>
      <w:r>
        <w:rPr>
          <w:rFonts w:ascii="arial" w:hAnsi="arial" w:eastAsia="arial" w:cs="arial"/>
          <w:sz w:val="28"/>
          <w:szCs w:val="28"/>
          <w:b w:val="1"/>
          <w:bCs w:val="1"/>
          <w:rtl/>
        </w:rPr>
        <w:t xml:space="preserve">أبو محمد عبد الله بن عبد الحكم
</w:t>
      </w:r>
    </w:p>
    <w:p>
      <w:pPr/>
      <w:r>
        <w:rPr/>
        <w:t xml:space="preserve">أبو محمد عبد الله بن عبد الحكم بن أعين. وكان أعلم أصحاب مالك بمختلف قوله، وأفضت إليه الرياسة بعد أشهب؛ ويقال أنه دفع إلى الإمام الشافعي ألف دينار من ماله وأخذ له من ابن عسامة التاجر ألف دينار ومن رجلين آخرين ألف دينار. ولد سنة خمسين ومائة ومات سنة أربع عشرة ومائتين.</w:t>
      </w:r>
    </w:p>
    <w:p>
      <w:pPr>
        <w:jc w:val="start"/>
        <w:bidi/>
      </w:pPr>
      <w:r>
        <w:rPr>
          <w:sz w:val="24"/>
          <w:szCs w:val="24"/>
          <w:b w:val="1"/>
          <w:bCs w:val="1"/>
          <w:rtl/>
        </w:rPr>
        <w:t xml:space="preserve">
طبقات الفقهاء / للشيرازي،(دار الرائد العربي - بيروت،1970،ط 1،ج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2026-06-01T20:55:46+03:00</dcterms:created>
  <dcterms:modified xsi:type="dcterms:W3CDTF">2026-06-01T20:55:46+03:00</dcterms:modified>
</cp:coreProperties>
</file>

<file path=docProps/custom.xml><?xml version="1.0" encoding="utf-8"?>
<Properties xmlns="http://schemas.openxmlformats.org/officeDocument/2006/custom-properties" xmlns:vt="http://schemas.openxmlformats.org/officeDocument/2006/docPropsVTypes"/>
</file>