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العالية
</w:t>
      </w:r>
    </w:p>
    <w:p>
      <w:pPr>
        <w:jc w:val="start"/>
        <w:bidi/>
      </w:pPr>
      <w:r>
        <w:rPr>
          <w:rFonts w:ascii="arial" w:hAnsi="arial" w:eastAsia="arial" w:cs="arial"/>
          <w:sz w:val="28"/>
          <w:szCs w:val="28"/>
          <w:b w:val="1"/>
          <w:bCs w:val="1"/>
          <w:rtl/>
        </w:rPr>
        <w:t xml:space="preserve">أبو العالية
</w:t>
      </w:r>
    </w:p>
    <w:p>
      <w:pPr/>
      <w:r>
        <w:rPr/>
        <w:t xml:space="preserve">أبو العالية رفيع بن مهران الرياحي البصري: مولى امرأة من بني رياح من تميم. أدرك الجاهلية وأسلم بعد موت النبي صلى الله عليه وسلم بسنتين ودخل على أبي بكر وصلى خلف عمر. توفي سنة ست ومائة وقيل سنة ثلاث وتسعين وذكر الحسن لأبي العالية فقال: رجل مسلم يأمر بالمعروف وينهى عن المنكر وأدركنا الخير وتعلمنا قبل أن يولد الحسن. وقال مغيرة: كانوا يقولون: أشبه رجل بالبصرة علما بإبراهيم أبو العالية.</w:t>
      </w:r>
    </w:p>
    <w:p>
      <w:pPr>
        <w:jc w:val="start"/>
        <w:bidi/>
      </w:pPr>
      <w:r>
        <w:rPr>
          <w:sz w:val="24"/>
          <w:szCs w:val="24"/>
          <w:b w:val="1"/>
          <w:bCs w:val="1"/>
          <w:rtl/>
        </w:rPr>
        <w:t xml:space="preserve">
طبقات الفقهاء / للشيرازي،(دار الرائد العربي - بيروت،1970،ط 1،ج 1،ص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2026-05-14T18:33:02+03:00</dcterms:created>
  <dcterms:modified xsi:type="dcterms:W3CDTF">2026-05-14T18:33:02+03:00</dcterms:modified>
</cp:coreProperties>
</file>

<file path=docProps/custom.xml><?xml version="1.0" encoding="utf-8"?>
<Properties xmlns="http://schemas.openxmlformats.org/officeDocument/2006/custom-properties" xmlns:vt="http://schemas.openxmlformats.org/officeDocument/2006/docPropsVTypes"/>
</file>