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 الله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 الله الرومي
</w:t>
      </w:r>
    </w:p>
    <w:p>
      <w:pPr/>
      <w:r>
        <w:rPr/>
        <w:t xml:space="preserve">جار الله الرومي  ولي الدين بن مصطفى الينيشهري، القسطنطيني، أبو عبد الله، الملقب بجار الله الرومي الحنفي:فاضل. ولد في ’’يني شهر’’ و يكتبها الترك ’’يكيشهر’’ و جاور بمكة سبع سنوات. وسكن استامبول، فبنى فيها مدرسة و مكتبة، قرب مسجد الفاتح. ودفن في المدرسة. ونقلت المكتبة بعده إلى جامع السلطان بايزيد. له تآليف عربية، منها ’’فضائل الجهاد’’ و’’السبع السيارة النورية على حاشية الفوائد الفنارية لايساغوجى’’ في المنطق، و ’’شرح آداب البركوى’’ و’’حاشية على تفسير البيضاوي’’ و’’حاشية على شرح المقاصد’’.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2026-05-15T00:22:13+03:00</dcterms:created>
  <dcterms:modified xsi:type="dcterms:W3CDTF">2026-05-15T00:22:13+03:00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