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البهنسي المصري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البهنسي المصري أبو عبد الله
</w:t>
      </w:r>
    </w:p>
    <w:p>
      <w:pPr/>
      <w:r>
        <w:rPr/>
        <w:t xml:space="preserve">محمد البهنسي المصري أبو عبد الله الفقيه الراوية المحدث المفسر، له تفسير في نحو الأربعين مجلدا، وله شرح على البخاري في نحو الثلاثين مجلدا وغير ذلك من التصانيف.</w:t>
      </w:r>
    </w:p>
    <w:p/>
    <w:p>
      <w:pPr/>
      <w:r>
        <w:rPr/>
        <w:t xml:space="preserve">لقيته بمصر سنة 986. وأخذت عنه، وأجاز لي كل ما يحمله لفظا لا كتابة.</w:t>
      </w:r>
    </w:p>
    <w:p/>
    <w:p>
      <w:pPr/>
      <w:r>
        <w:rPr/>
        <w:t xml:space="preserve">توفي بمكة المشرفة سنة 999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2026-05-19T14:50:04+03:00</dcterms:created>
  <dcterms:modified xsi:type="dcterms:W3CDTF">2026-05-19T14:50:04+03:00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