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قاسم بن علي بن أبي العافية المكناسي، الشهير بابن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قاسم بن علي بن أبي العافية المكناسي، الشهير بابن القاضي
</w:t>
      </w:r>
    </w:p>
    <w:p>
      <w:pPr/>
      <w:r>
        <w:rPr/>
        <w:t xml:space="preserve">محمد بن محمد بن قاسم بن علي بن أبي العافية المكناسي، الشهير بابن القاضي كان فقيها أستاذا نحويا، جلس مجلس أبيه في الرسالة بجامع القرويين بعد وفاة أبيه.</w:t>
      </w:r>
    </w:p>
    <w:p/>
    <w:p>
      <w:pPr/>
      <w:r>
        <w:rPr/>
        <w:t xml:space="preserve">توفي سنة 965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2026-05-19T14:55:40+03:00</dcterms:created>
  <dcterms:modified xsi:type="dcterms:W3CDTF">2026-05-19T14:55:40+03:00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