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الكازروني
</w:t>
      </w:r>
    </w:p>
    <w:p>
      <w:pPr>
        <w:jc w:val="start"/>
        <w:bidi/>
      </w:pPr>
      <w:r>
        <w:rPr>
          <w:rFonts w:ascii="arial" w:hAnsi="arial" w:eastAsia="arial" w:cs="arial"/>
          <w:sz w:val="28"/>
          <w:szCs w:val="28"/>
          <w:b w:val="1"/>
          <w:bCs w:val="1"/>
          <w:rtl/>
        </w:rPr>
        <w:t xml:space="preserve">الكازروني
</w:t>
      </w:r>
    </w:p>
    <w:p>
      <w:pPr/>
      <w:r>
        <w:rPr/>
        <w:t xml:space="preserve">الكازروني  أحمد بن منصور بن أحمد بن عبد الله، أبو العباس الكازروني: فقيه شافعي. أخذ عن شيوخ بغداد وحدث بها، وعاد إلى بلده كازرون (بفارس) فولى قضاءها. ثم سكن شيراز، وتوفي بها. له (معجم الشيوخ) سبعة أجزاء، في تراجم مشايخه. </w:t>
      </w:r>
    </w:p>
    <w:p>
      <w:pPr>
        <w:jc w:val="start"/>
        <w:bidi/>
      </w:pPr>
      <w:r>
        <w:rPr>
          <w:sz w:val="24"/>
          <w:szCs w:val="24"/>
          <w:b w:val="1"/>
          <w:bCs w:val="1"/>
          <w:rtl/>
        </w:rPr>
        <w:t xml:space="preserve">
الأعلام،(دار العلم للملايين - بيروت،2002،ط 15،ج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قاضي كازرون
</w:t>
      </w:r>
    </w:p>
    <w:p>
      <w:pPr/>
      <w:r>
        <w:rPr/>
        <w:t xml:space="preserve">أبو العباس قاضي كازرون أحمد بن منصور بن أحمد بن عبد الله بن إبراهيم بن جعفر أبو العباس الفقيه الشافعي من أهل كازرون. قدم بغداذ في صباه سنة أربعين وخمسمائة للتفقه وسمع بها من جماعة مثل شيخ الشيوخ إسماعيل ابن أبي سعد الصوفي وعبد الله بن علي بن أحمد سبط الشيخ وأبي بكر أحمد بن علي بن عبد الواحد الدلال وغيرهم، وجمع معجما لأشياخه في سبعة أجزاء وحدث به، وولي القضاء ببلده، ثم سكن شيراز إلى حين وفاته. وكان فقيها فاضلا محدثا صدوقا. قدم رسولا من شيراز إلى الديوان ببغداذ من صاحب شيراز وحدث بها. وتوفي سنة سبع وثمانين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بن أحمد بن عبد الله بن جعفر أبو العباس الفقيه
</w:t>
      </w:r>
    </w:p>
    <w:p>
      <w:pPr/>
      <w:r>
        <w:rPr/>
        <w:t xml:space="preserve">أحمد بن منصور بن أحمد بن عبد الله بن جعفر أبو العباس الفقيه من أهل كازرون أحد بلاد فارس</w:t>
      </w:r>
    </w:p>
    <w:p/>
    <w:p>
      <w:pPr/>
      <w:r>
        <w:rPr/>
        <w:t xml:space="preserve">قدم بغداد في صباه للتفقه في سنة أربعين وخمسمائة فسمع بها من جماعة كثيرين وجمع معجما لمشايخه في سبعة أجزاء</w:t>
      </w:r>
    </w:p>
    <w:p/>
    <w:p>
      <w:pPr/>
      <w:r>
        <w:rPr/>
        <w:t xml:space="preserve">قال ابن النجار وولى القضاء ببلده ثم سكن شيراز إلى حين وفاته</w:t>
      </w:r>
    </w:p>
    <w:p/>
    <w:p>
      <w:pPr/>
      <w:r>
        <w:rPr/>
        <w:t xml:space="preserve">وكان فقيها فاضلا ومحدثا صدوقا</w:t>
      </w:r>
    </w:p>
    <w:p/>
    <w:p>
      <w:pPr/>
      <w:r>
        <w:rPr/>
        <w:t xml:space="preserve">قدم بغداد رسولا إلى الديوان من جهة صاحب شيراز في سنة ست وثمانين وخمسمائة</w:t>
      </w:r>
    </w:p>
    <w:p>
      <w:pPr>
        <w:jc w:val="start"/>
        <w:bidi/>
      </w:pPr>
      <w:r>
        <w:rPr>
          <w:sz w:val="24"/>
          <w:szCs w:val="24"/>
          <w:b w:val="1"/>
          <w:bCs w:val="1"/>
          <w:rtl/>
        </w:rPr>
        <w:t xml:space="preserve">
طبقات الشافعية الكبرى،(دار هجر - القاهرة،1992،ط 2،ج 6،ص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بن أحمد أبو العباس.
</w:t>
      </w:r>
    </w:p>
    <w:p>
      <w:pPr/>
      <w:r>
        <w:rPr/>
        <w:t xml:space="preserve">أحمد بن منصور بن أحمد أبو العباس. </w:t>
      </w:r>
    </w:p>
    <w:p/>
    <w:p>
      <w:pPr/>
      <w:r>
        <w:rPr/>
        <w:t xml:space="preserve">الفقيه من أهل كاورون أحد بلاد فارس، قدم بغداد وسمع وخرَّج لنفسه معجماً، ولى قضاء بلده، ومات بشيراز سنة سبع وثمانين وخمسمائة، ومولده سنة عشر.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2026-07-04T18:21:16+03:00</dcterms:created>
  <dcterms:modified xsi:type="dcterms:W3CDTF">2026-07-04T18:21:16+03:00</dcterms:modified>
</cp:coreProperties>
</file>

<file path=docProps/custom.xml><?xml version="1.0" encoding="utf-8"?>
<Properties xmlns="http://schemas.openxmlformats.org/officeDocument/2006/custom-properties" xmlns:vt="http://schemas.openxmlformats.org/officeDocument/2006/docPropsVTypes"/>
</file>