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هصيص بن كعب
</w:t>
      </w:r>
    </w:p>
    <w:p>
      <w:pPr>
        <w:jc w:val="start"/>
        <w:bidi/>
      </w:pPr>
      <w:r>
        <w:rPr>
          <w:rFonts w:ascii="arial" w:hAnsi="arial" w:eastAsia="arial" w:cs="arial"/>
          <w:sz w:val="28"/>
          <w:szCs w:val="28"/>
          <w:b w:val="1"/>
          <w:bCs w:val="1"/>
          <w:rtl/>
        </w:rPr>
        <w:t xml:space="preserve">هصيص بن كعب
</w:t>
      </w:r>
    </w:p>
    <w:p>
      <w:pPr/>
      <w:r>
        <w:rPr/>
        <w:t xml:space="preserve">هصيص بن كعب  هصيص بن كعب بن لؤي، من قريش: جد جاهلي. استوعب تنسيق نسله في كتاب (نسب قريش) ستا وعشرين صفحة. وكان من احفاده، في عهد ظهور الاسلام، علي بن امية بن خلف (قتل يوم بدر، مع ابيه، مشركين) وصفوان بن امية (تقدمت ترجمته) ونبيه ومنبه ابنا الحجاج (تقدما ايضا) وآخرون. </w:t>
      </w:r>
    </w:p>
    <w:p>
      <w:pPr>
        <w:jc w:val="start"/>
        <w:bidi/>
      </w:pPr>
      <w:r>
        <w:rPr>
          <w:sz w:val="24"/>
          <w:szCs w:val="24"/>
          <w:b w:val="1"/>
          <w:bCs w:val="1"/>
          <w:rtl/>
        </w:rPr>
        <w:t xml:space="preserve">
الأعلام،(دار العلم للملايين - بيروت،2002،ط 15،ج 8،ص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2026-05-15T05:29:52+03:00</dcterms:created>
  <dcterms:modified xsi:type="dcterms:W3CDTF">2026-05-15T05:29:52+03:00</dcterms:modified>
</cp:coreProperties>
</file>

<file path=docProps/custom.xml><?xml version="1.0" encoding="utf-8"?>
<Properties xmlns="http://schemas.openxmlformats.org/officeDocument/2006/custom-properties" xmlns:vt="http://schemas.openxmlformats.org/officeDocument/2006/docPropsVTypes"/>
</file>