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هرثمة بن نصر
</w:t>
      </w:r>
    </w:p>
    <w:p>
      <w:pPr>
        <w:jc w:val="start"/>
        <w:bidi/>
      </w:pPr>
      <w:r>
        <w:rPr>
          <w:rFonts w:ascii="arial" w:hAnsi="arial" w:eastAsia="arial" w:cs="arial"/>
          <w:sz w:val="28"/>
          <w:szCs w:val="28"/>
          <w:b w:val="1"/>
          <w:bCs w:val="1"/>
          <w:rtl/>
        </w:rPr>
        <w:t xml:space="preserve">هرثمة بن نصر
</w:t>
      </w:r>
    </w:p>
    <w:p>
      <w:pPr/>
      <w:r>
        <w:rPr/>
        <w:t xml:space="preserve">هرثمة بن نصر  هرثمة بن نصر (او النضر) الجيلي (او الجبلي): وال، قال ابن تغرى بردى: كان اميرا جليلا عاقلا مدبرا سيوسا. ولى امرة مصر سنة 233هـ. وفي ايامه ورد كتاب الخليفة المتوكل إلى مصر بترك الجدال في القرآن؛ وانتهت المحنة التي كان المأمون قد بدأ بها، فتباشر الناس بولاية هرثمة. وعاجلته الوفاة بعد 15 شهرا و 8 ايام، من ولايته. وهو ثاني (هرثمة) ولى مصر في الدولة العباسية. </w:t>
      </w:r>
    </w:p>
    <w:p>
      <w:pPr>
        <w:jc w:val="start"/>
        <w:bidi/>
      </w:pPr>
      <w:r>
        <w:rPr>
          <w:sz w:val="24"/>
          <w:szCs w:val="24"/>
          <w:b w:val="1"/>
          <w:bCs w:val="1"/>
          <w:rtl/>
        </w:rPr>
        <w:t xml:space="preserve">
الأعلام،(دار العلم للملايين - بيروت،2002،ط 15،ج 8،ص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2026-05-15T07:51:37+03:00</dcterms:created>
  <dcterms:modified xsi:type="dcterms:W3CDTF">2026-05-15T07:51:37+03:00</dcterms:modified>
</cp:coreProperties>
</file>

<file path=docProps/custom.xml><?xml version="1.0" encoding="utf-8"?>
<Properties xmlns="http://schemas.openxmlformats.org/officeDocument/2006/custom-properties" xmlns:vt="http://schemas.openxmlformats.org/officeDocument/2006/docPropsVTypes"/>
</file>