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هاجر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هاجر بن عبد العزى
</w:t>
      </w:r>
    </w:p>
    <w:p>
      <w:pPr/>
      <w:r>
        <w:rPr/>
        <w:t xml:space="preserve">هاجر بن عبد العزى  هاجر بن عبد العزى الخزاعى: معمر جاهلى، شاعر. قيل: اسمه (عميرة بن هاجر بن عمير بن عبد العزى). له أبيات أولها:</w:t>
      </w:r>
    </w:p>
    <w:p/>
    <w:p>
      <w:pPr>
        <w:jc w:val="center"/>
      </w:pPr>
      <w:r>
        <w:rPr>
          <w:color w:val="ff0000"/>
        </w:rPr>
        <w:t xml:space="preserve">بليت، وأفنانى الزمان، واصبحت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هنيدة قد أنضيت من بعدها عشرا</w:t>
      </w:r>
    </w:p>
    <w:p/>
    <w:p>
      <w:pPr/>
      <w:r>
        <w:rPr/>
        <w:t xml:space="preserve">والهنيده، المئة.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2026-05-15T12:10:50+03:00</dcterms:created>
  <dcterms:modified xsi:type="dcterms:W3CDTF">2026-05-15T12:10:50+03:00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