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الحق
</w:t>
      </w:r>
    </w:p>
    <w:p>
      <w:pPr>
        <w:jc w:val="start"/>
        <w:bidi/>
      </w:pPr>
      <w:r>
        <w:rPr>
          <w:rFonts w:ascii="arial" w:hAnsi="arial" w:eastAsia="arial" w:cs="arial"/>
          <w:sz w:val="28"/>
          <w:szCs w:val="28"/>
          <w:b w:val="1"/>
          <w:bCs w:val="1"/>
          <w:rtl/>
        </w:rPr>
        <w:t xml:space="preserve">نور الحق
</w:t>
      </w:r>
    </w:p>
    <w:p>
      <w:pPr/>
      <w:r>
        <w:rPr/>
        <w:t xml:space="preserve">نور الحق  نور الحق ماجى بون، أبو عبد الرحمن، ويقال له قادحاج: فاضل صينى، له مؤلفات باللغات الثلاث الصينية والعربية والفارسية. حج، وأقام سنتين فى الحرمين، يتعلم. وعاد إلى بلاده فأخذ عنه كثير من الطلبة. وحج ثانية، فلما وصل إلى (كانبور) بالهند، مكث بها لتصحيح بعض المؤلفات، للطبع، فأدركته الوفاة. ترجم كتاب (الخطب والفقراء) من الفارسية إلى العربية. وترجم من العربية عن الصينية كتاب (خمس فصول – ط) في علم الطبيعة للعلامة الصينى المسلم صالح ليوجى. وسمى له صاحب كتاب (الصين والإسلام) عشرين مؤلفا، منها (التيسير فى علم الفلك) و (متسق النحو) و (توضيح شرح الوقاية) و (تبطيل التثليب) بالصينية والعربية.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2026-05-15T13:11:14+03:00</dcterms:created>
  <dcterms:modified xsi:type="dcterms:W3CDTF">2026-05-15T13:11:14+03:00</dcterms:modified>
</cp:coreProperties>
</file>

<file path=docProps/custom.xml><?xml version="1.0" encoding="utf-8"?>
<Properties xmlns="http://schemas.openxmlformats.org/officeDocument/2006/custom-properties" xmlns:vt="http://schemas.openxmlformats.org/officeDocument/2006/docPropsVTypes"/>
</file>