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النعيت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النعيت
</w:t>
      </w:r>
    </w:p>
    <w:p>
      <w:pPr/>
      <w:r>
        <w:rPr/>
        <w:t xml:space="preserve">النعيت  النعيت بن عمرو بن مرة اليشكرى: شاعر محسن. كان حيا لما قدم المهلب بن أبى صفرة خراسان، واليا (سنة 79 هـ) بعد أمية بن عبد الله الأموى القرشى. وله فيها أبيات، منها:</w:t>
      </w:r>
    </w:p>
    <w:p/>
    <w:p>
      <w:pPr>
        <w:jc w:val="center"/>
      </w:pPr>
      <w:r>
        <w:rPr>
          <w:color w:val="ff0000"/>
        </w:rPr>
        <w:t xml:space="preserve">فأصبح قافلا كرم ومج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وأصبح قادما كذب وحوب</w:t>
      </w:r>
    </w:p>
    <w:p/>
    <w:p>
      <w:pPr/>
      <w:r>
        <w:rPr/>
        <w:t xml:space="preserve">قال الآمدى: وله أشعار جياد في (أشعار بنى يشكر).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2026-05-15T15:35:17+03:00</dcterms:created>
  <dcterms:modified xsi:type="dcterms:W3CDTF">2026-05-15T15:35:17+03:00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