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زاده
</w:t>
      </w:r>
    </w:p>
    <w:p>
      <w:pPr>
        <w:jc w:val="start"/>
        <w:bidi/>
      </w:pPr>
      <w:r>
        <w:rPr>
          <w:rFonts w:ascii="arial" w:hAnsi="arial" w:eastAsia="arial" w:cs="arial"/>
          <w:sz w:val="28"/>
          <w:szCs w:val="28"/>
          <w:b w:val="1"/>
          <w:bCs w:val="1"/>
          <w:rtl/>
        </w:rPr>
        <w:t xml:space="preserve">قاضي زاده
</w:t>
      </w:r>
    </w:p>
    <w:p>
      <w:pPr/>
      <w:r>
        <w:rPr/>
        <w:t xml:space="preserve">قاضي زاده  أحمد بن محمود الأدرنوي، شمس الدين، قاضي زاده: فقيه حنفي، من الروم، كان أبوه قاضيا بأدرنة وتولى هو قضاء حلب بضع سنوات ثم قضاء القسطنطينية، فقضاء عسكر الروم ايلي. وأبعد في أواخر أيام السلطان سليم. وأعيد في أيام مراد خان. ثم قلد الفتوى بدار السلطنة لى أن توفي. له كتب، منها (نتائج الأفكار - ط) في تكملة فتح القدير لابن الهمام، في فروع الحنفية، و (حاشية’’ على شرح المفتاح لم يتمها، و (حاشية على شرح الوقاية لصدر الشريعة - خ) في الأزهرية. </w:t>
      </w:r>
    </w:p>
    <w:p>
      <w:pPr>
        <w:jc w:val="start"/>
        <w:bidi/>
      </w:pPr>
      <w:r>
        <w:rPr>
          <w:sz w:val="24"/>
          <w:szCs w:val="24"/>
          <w:b w:val="1"/>
          <w:bCs w:val="1"/>
          <w:rtl/>
        </w:rPr>
        <w:t xml:space="preserve">
الأعلام،(دار العلم للملايين - بيروت،2002،ط 15،ج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2026-07-04T20:50:52+03:00</dcterms:created>
  <dcterms:modified xsi:type="dcterms:W3CDTF">2026-07-04T20:50:52+03:00</dcterms:modified>
</cp:coreProperties>
</file>

<file path=docProps/custom.xml><?xml version="1.0" encoding="utf-8"?>
<Properties xmlns="http://schemas.openxmlformats.org/officeDocument/2006/custom-properties" xmlns:vt="http://schemas.openxmlformats.org/officeDocument/2006/docPropsVTypes"/>
</file>