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 بن أبي بكر، نور الدين الصابوني البخاري: من علماء الكلام، من الحنفية. مولده ووفاته في بخارى. نسبته إلى عمل الصابون أو بيعه. له (البدارة من الكفاية - خ) في شستربتي (3599) في أصول الدين، اختصره من كتابه (الكفاية في الهداية - خ) في أوقاف بغداد، ويسمى (عقيدة الصابوني).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الصابوني
</w:t>
      </w:r>
    </w:p>
    <w:p>
      <w:pPr/>
      <w:r>
        <w:rPr/>
        <w:t xml:space="preserve">أحمد بن محمود الصابوني أحمد بن محمود بن أبي بكر الصابوني نور الدين أبو محمد له البداية في أصول الدين توفي ليلة الثلاثاء سادس عشر صفر سنة ثمانين وخمسمائة قلت: تفقه الصابوني على شمس الأئمة الكردري وكانت وفاته وقت صلاة المغرب ودفن بمقبرة القضاة السبعة وله كتاب المغنى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2026-07-04T16:40:47+03:00</dcterms:created>
  <dcterms:modified xsi:type="dcterms:W3CDTF">2026-07-04T16:40:47+03:00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