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جهة دار الدملؤة
</w:t>
      </w:r>
    </w:p>
    <w:p>
      <w:pPr>
        <w:jc w:val="start"/>
        <w:bidi/>
      </w:pPr>
      <w:r>
        <w:rPr>
          <w:rFonts w:ascii="arial" w:hAnsi="arial" w:eastAsia="arial" w:cs="arial"/>
          <w:sz w:val="28"/>
          <w:szCs w:val="28"/>
          <w:b w:val="1"/>
          <w:bCs w:val="1"/>
          <w:rtl/>
        </w:rPr>
        <w:t xml:space="preserve">جهة دار الدملؤة
</w:t>
      </w:r>
    </w:p>
    <w:p>
      <w:pPr/>
      <w:r>
        <w:rPr/>
        <w:t xml:space="preserve">جهة دار الدملؤة  نبيلة بنت السلطان الملك المظفر يوسف ابن عمر بن علي بن رسول: سيدة يمانية تقية محسنة، من بيت مجد وملك. كانت اقامتها في حصن تعز. ابتنت مدرسة في مدينة تعز، ومسجدا في جبل صبر، ومدرسة في زبيد (تسمى الاشرفية) ووقفت على الجميع اوقافا كافية. وتوفيت في مدينة تعز. </w:t>
      </w:r>
    </w:p>
    <w:p>
      <w:pPr>
        <w:jc w:val="start"/>
        <w:bidi/>
      </w:pPr>
      <w:r>
        <w:rPr>
          <w:sz w:val="24"/>
          <w:szCs w:val="24"/>
          <w:b w:val="1"/>
          <w:bCs w:val="1"/>
          <w:rtl/>
        </w:rPr>
        <w:t xml:space="preserve">
الأعلام،(دار العلم للملايين - بيروت،2002،ط 15،ج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2026-05-15T21:29:33+03:00</dcterms:created>
  <dcterms:modified xsi:type="dcterms:W3CDTF">2026-05-15T21:29:33+03:00</dcterms:modified>
</cp:coreProperties>
</file>

<file path=docProps/custom.xml><?xml version="1.0" encoding="utf-8"?>
<Properties xmlns="http://schemas.openxmlformats.org/officeDocument/2006/custom-properties" xmlns:vt="http://schemas.openxmlformats.org/officeDocument/2006/docPropsVTypes"/>
</file>