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عقبة
</w:t>
      </w:r>
    </w:p>
    <w:p>
      <w:pPr>
        <w:jc w:val="start"/>
        <w:bidi/>
      </w:pPr>
      <w:r>
        <w:rPr>
          <w:rFonts w:ascii="arial" w:hAnsi="arial" w:eastAsia="arial" w:cs="arial"/>
          <w:sz w:val="28"/>
          <w:szCs w:val="28"/>
          <w:b w:val="1"/>
          <w:bCs w:val="1"/>
          <w:rtl/>
        </w:rPr>
        <w:t xml:space="preserve">نافع بن عقبة
</w:t>
      </w:r>
    </w:p>
    <w:p>
      <w:pPr/>
      <w:r>
        <w:rPr/>
        <w:t xml:space="preserve">نافع بن عقبة  نافع بن عقبة بن سلم بن نافع الدوسي: امير البحرين والبصرة. استخلفه ابوه عليهما (سنة 151هـ) وقال فيه بشار بن برد من قصيدة:</w:t>
      </w:r>
    </w:p>
    <w:p/>
    <w:p>
      <w:pPr/>
      <w:r>
        <w:rPr/>
        <w:t xml:space="preserve">#ولنافع فضل على اكفائهـ ، ان الكريم احق بالتفضيوكان بشار منقطعا إلى ابيه (عقبة) وله في مدحه قصائد كثيرة (انظر ديوانه) وكان حماد عجرد، كما في الاغاني، نديم نافع. ووقع التهجي بين حماد وبشار، لابطاء حماد في تنجيز حاجة لبشار من نافع. ويظهر ان نافعا استمر مدة في امارة البحرين وعمان (دون البصرة) وليس فيما تحت اليد من المصادر ما يعرفنا بمصيره. </w:t>
      </w:r>
    </w:p>
    <w:p>
      <w:pPr>
        <w:jc w:val="start"/>
        <w:bidi/>
      </w:pPr>
      <w:r>
        <w:rPr>
          <w:sz w:val="24"/>
          <w:szCs w:val="24"/>
          <w:b w:val="1"/>
          <w:bCs w:val="1"/>
          <w:rtl/>
        </w:rPr>
        <w:t xml:space="preserve">
الأعلام،(دار العلم للملايين - بيروت،2002،ط 15،ج 8،ص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2026-05-15T21:28:16+03:00</dcterms:created>
  <dcterms:modified xsi:type="dcterms:W3CDTF">2026-05-15T21:28:16+03:00</dcterms:modified>
</cp:coreProperties>
</file>

<file path=docProps/custom.xml><?xml version="1.0" encoding="utf-8"?>
<Properties xmlns="http://schemas.openxmlformats.org/officeDocument/2006/custom-properties" xmlns:vt="http://schemas.openxmlformats.org/officeDocument/2006/docPropsVTypes"/>
</file>