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القارئ
</w:t>
      </w:r>
    </w:p>
    <w:p>
      <w:pPr>
        <w:jc w:val="start"/>
        <w:bidi/>
      </w:pPr>
      <w:r>
        <w:rPr>
          <w:rFonts w:ascii="arial" w:hAnsi="arial" w:eastAsia="arial" w:cs="arial"/>
          <w:sz w:val="28"/>
          <w:szCs w:val="28"/>
          <w:b w:val="1"/>
          <w:bCs w:val="1"/>
          <w:rtl/>
        </w:rPr>
        <w:t xml:space="preserve">نافع القارئ
</w:t>
      </w:r>
    </w:p>
    <w:p>
      <w:pPr/>
      <w:r>
        <w:rPr/>
        <w:t xml:space="preserve">نافع القارئ  نافع بن عبد الرحمن بن أبي نعيم الليثي بالولاء المدني: احد القراء السبعة الشمهورين. كان اسود، شديد السواد، صبيح الوجه، حسن الخلق، فيه دعابة. اصله من اصبهان. اشتهر في المدينة وانتهت اليه رياسة القراءة فيها، وأقرأ الناس نيفا وسبعين سنة، وتوفى بها.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القارئ
</w:t>
      </w:r>
    </w:p>
    <w:p>
      <w:pPr/>
      <w:r>
        <w:rPr/>
        <w:t xml:space="preserve">نافع القارئ </w:t>
      </w:r>
    </w:p>
    <w:p/>
    <w:p>
      <w:pPr/>
      <w:r>
        <w:rPr/>
        <w:t xml:space="preserve">هو نافع بن عبد الرحمن بن أبي نعيم مولى بن شعوب حليف العباس بن عبد المطلب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2026-05-15T21:28:33+03:00</dcterms:created>
  <dcterms:modified xsi:type="dcterms:W3CDTF">2026-05-15T21:28:33+03:00</dcterms:modified>
</cp:coreProperties>
</file>

<file path=docProps/custom.xml><?xml version="1.0" encoding="utf-8"?>
<Properties xmlns="http://schemas.openxmlformats.org/officeDocument/2006/custom-properties" xmlns:vt="http://schemas.openxmlformats.org/officeDocument/2006/docPropsVTypes"/>
</file>