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امير الحاج
</w:t>
      </w:r>
    </w:p>
    <w:p>
      <w:pPr>
        <w:jc w:val="start"/>
        <w:bidi/>
      </w:pPr>
      <w:r>
        <w:rPr>
          <w:rFonts w:ascii="arial" w:hAnsi="arial" w:eastAsia="arial" w:cs="arial"/>
          <w:sz w:val="28"/>
          <w:szCs w:val="28"/>
          <w:b w:val="1"/>
          <w:bCs w:val="1"/>
          <w:rtl/>
        </w:rPr>
        <w:t xml:space="preserve">ابن امير الحاج
</w:t>
      </w:r>
    </w:p>
    <w:p>
      <w:pPr/>
      <w:r>
        <w:rPr/>
        <w:t xml:space="preserve">ابن امير الحاج  موسى بن محمد التبريزي، ابو الفتح، مصلح الدين المعروف بابن امير الحاج: فقيه حنفي. زار دمشق سنة 710 وسنة 726 ومر بالقاهرة. وتوفى بوادي بني سالم في طريق الحجاز وهو قاصد زيارة قبر الرسول صلى الله عليه وسلم بعد اداء الحج. له (الرفيع في شرح البديع لابن الساعاتي، في الاصول -خ) الجزء الثاني منه، وهو آخر الكتاب. </w:t>
      </w:r>
    </w:p>
    <w:p>
      <w:pPr>
        <w:jc w:val="start"/>
        <w:bidi/>
      </w:pPr>
      <w:r>
        <w:rPr>
          <w:sz w:val="24"/>
          <w:szCs w:val="24"/>
          <w:b w:val="1"/>
          <w:bCs w:val="1"/>
          <w:rtl/>
        </w:rPr>
        <w:t xml:space="preserve">
الأعلام،(دار العلم للملايين - بيروت،2002،ط 15،ج 7،ص 328)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2026-05-16T01:26:51+03:00</dcterms:created>
  <dcterms:modified xsi:type="dcterms:W3CDTF">2026-05-16T01:26:51+03:00</dcterms:modified>
</cp:coreProperties>
</file>

<file path=docProps/custom.xml><?xml version="1.0" encoding="utf-8"?>
<Properties xmlns="http://schemas.openxmlformats.org/officeDocument/2006/custom-properties" xmlns:vt="http://schemas.openxmlformats.org/officeDocument/2006/docPropsVTypes"/>
</file>