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مهدي بن علي
</w:t>
      </w:r>
    </w:p>
    <w:p>
      <w:pPr>
        <w:jc w:val="start"/>
        <w:bidi/>
      </w:pPr>
      <w:r>
        <w:rPr>
          <w:rFonts w:ascii="arial" w:hAnsi="arial" w:eastAsia="arial" w:cs="arial"/>
          <w:sz w:val="28"/>
          <w:szCs w:val="28"/>
          <w:b w:val="1"/>
          <w:bCs w:val="1"/>
          <w:rtl/>
        </w:rPr>
        <w:t xml:space="preserve">مهدي بن علي
</w:t>
      </w:r>
    </w:p>
    <w:p>
      <w:pPr/>
      <w:r>
        <w:rPr/>
        <w:t xml:space="preserve">مهدي بن علي  مهدي بن علي بن مهدي الحميري: احد القائمين في اليمن. تولى بعد وفاة ابه (سنة 554هـ) وجعل يغزو التهائم، واستقر في اعالي اليمن. وكان فاتكا جبارا نهابا، اغار على الحج ثلاث مرات، وقتل كثيرا من الحجاج. ومات في زبيد. </w:t>
      </w:r>
    </w:p>
    <w:p>
      <w:pPr>
        <w:jc w:val="start"/>
        <w:bidi/>
      </w:pPr>
      <w:r>
        <w:rPr>
          <w:sz w:val="24"/>
          <w:szCs w:val="24"/>
          <w:b w:val="1"/>
          <w:bCs w:val="1"/>
          <w:rtl/>
        </w:rPr>
        <w:t xml:space="preserve">
الأعلام،(دار العلم للملايين - بيروت،2002،ط 15،ج 7،ص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2026-05-16T03:52:05+03:00</dcterms:created>
  <dcterms:modified xsi:type="dcterms:W3CDTF">2026-05-16T03:52:05+03:00</dcterms:modified>
</cp:coreProperties>
</file>

<file path=docProps/custom.xml><?xml version="1.0" encoding="utf-8"?>
<Properties xmlns="http://schemas.openxmlformats.org/officeDocument/2006/custom-properties" xmlns:vt="http://schemas.openxmlformats.org/officeDocument/2006/docPropsVTypes"/>
</file>