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
</w:t>
      </w:r>
    </w:p>
    <w:p>
      <w:pPr/>
      <w:r>
        <w:rPr/>
        <w:t xml:space="preserve">منصور  منصور بن عكرمة بن خصفة بن قيس عيلان بن مضر: جد جاهلي قديم. قال جرير:</w:t>
      </w:r>
    </w:p>
    <w:p/>
    <w:p>
      <w:pPr>
        <w:jc w:val="center"/>
      </w:pPr>
      <w:r>
        <w:rPr>
          <w:color w:val="ff0000"/>
        </w:rPr>
        <w:t xml:space="preserve">لن تدركوا غطفان، لو اجريتم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ابن القيون، ولا بنى منصور</w:t>
      </w:r>
    </w:p>
    <w:p/>
    <w:p>
      <w:pPr/>
      <w:r>
        <w:rPr/>
        <w:t xml:space="preserve">من نسله قبائل (مازن) و (هوازن).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2026-05-16T06:39:20+03:00</dcterms:created>
  <dcterms:modified xsi:type="dcterms:W3CDTF">2026-05-16T06:39:20+03:00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