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همام الدولة
</w:t>
      </w:r>
    </w:p>
    <w:p>
      <w:pPr>
        <w:jc w:val="start"/>
        <w:bidi/>
      </w:pPr>
      <w:r>
        <w:rPr>
          <w:rFonts w:ascii="arial" w:hAnsi="arial" w:eastAsia="arial" w:cs="arial"/>
          <w:sz w:val="28"/>
          <w:szCs w:val="28"/>
          <w:b w:val="1"/>
          <w:bCs w:val="1"/>
          <w:rtl/>
        </w:rPr>
        <w:t xml:space="preserve">همام الدولة
</w:t>
      </w:r>
    </w:p>
    <w:p>
      <w:pPr/>
      <w:r>
        <w:rPr/>
        <w:t xml:space="preserve">همام الدولة  منصور بن دبيس بن عفيف الاسدي، همام الدولة: من أمراء الاسديين في الجزيرة الفراتية. وهو غير سميه (بهاء الدولة) منصور بن دبيس، صاحب الحلة المزيدية. ويجتمع نسباهما في ناشرة بن نضر بن سراة بن سعد بن مالك ابن ثعلبة بن دودان بن أسد. اشتهر (همام الدولة) صاحب الترجمة، بنسبة (الهمامية) إليه، وهى بلد بين واسط وخوزستان، يمر به نهر يأخذ من دجلة. </w:t>
      </w:r>
    </w:p>
    <w:p>
      <w:pPr>
        <w:jc w:val="start"/>
        <w:bidi/>
      </w:pPr>
      <w:r>
        <w:rPr>
          <w:sz w:val="24"/>
          <w:szCs w:val="24"/>
          <w:b w:val="1"/>
          <w:bCs w:val="1"/>
          <w:rtl/>
        </w:rPr>
        <w:t xml:space="preserve">
الأعلام،(دار العلم للملايين - بيروت،2002،ط 15،ج 7،ص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2026-05-16T05:41:05+03:00</dcterms:created>
  <dcterms:modified xsi:type="dcterms:W3CDTF">2026-05-16T05:41:05+03:00</dcterms:modified>
</cp:coreProperties>
</file>

<file path=docProps/custom.xml><?xml version="1.0" encoding="utf-8"?>
<Properties xmlns="http://schemas.openxmlformats.org/officeDocument/2006/custom-properties" xmlns:vt="http://schemas.openxmlformats.org/officeDocument/2006/docPropsVTypes"/>
</file>