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بن بلكين
</w:t>
      </w:r>
    </w:p>
    <w:p>
      <w:pPr>
        <w:jc w:val="start"/>
        <w:bidi/>
      </w:pPr>
      <w:r>
        <w:rPr>
          <w:rFonts w:ascii="arial" w:hAnsi="arial" w:eastAsia="arial" w:cs="arial"/>
          <w:sz w:val="28"/>
          <w:szCs w:val="28"/>
          <w:b w:val="1"/>
          <w:bCs w:val="1"/>
          <w:rtl/>
        </w:rPr>
        <w:t xml:space="preserve">المنصور بن بلكين
</w:t>
      </w:r>
    </w:p>
    <w:p>
      <w:pPr/>
      <w:r>
        <w:rPr/>
        <w:t xml:space="preserve">المنصور بن بلكين  المنصور بن بلكين (يوسف) بن زيري ابن مناد الصنهاجي، ابو الفتح، يرتفع نسبه إلى حمير: صاحب افريقية. وليها بعد وفاة ابيه (سنة 373هـ) وجاءه من مصر تقليد العزيز بالله الفاطمي على افريقية والمغرب. وكان كريما شجاعا حازما مظفرا. اسقط البقايا عن أهل افريقية، وكانت اموالا كثيرة. وتوفى قرب صبرة (المنصورية) المتصلة بالقيروان، ودفن بظاهرها. </w:t>
      </w:r>
    </w:p>
    <w:p>
      <w:pPr>
        <w:jc w:val="start"/>
        <w:bidi/>
      </w:pPr>
      <w:r>
        <w:rPr>
          <w:sz w:val="24"/>
          <w:szCs w:val="24"/>
          <w:b w:val="1"/>
          <w:bCs w:val="1"/>
          <w:rtl/>
        </w:rPr>
        <w:t xml:space="preserve">
الأعلام،(دار العلم للملايين - بيروت،2002،ط 15،ج 7،ص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2026-05-16T06:43:32+03:00</dcterms:created>
  <dcterms:modified xsi:type="dcterms:W3CDTF">2026-05-16T06:43:32+03:00</dcterms:modified>
</cp:coreProperties>
</file>

<file path=docProps/custom.xml><?xml version="1.0" encoding="utf-8"?>
<Properties xmlns="http://schemas.openxmlformats.org/officeDocument/2006/custom-properties" xmlns:vt="http://schemas.openxmlformats.org/officeDocument/2006/docPropsVTypes"/>
</file>