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 الدولة
</w:t>
      </w:r>
    </w:p>
    <w:p>
      <w:pPr>
        <w:jc w:val="start"/>
        <w:bidi/>
      </w:pPr>
      <w:r>
        <w:rPr>
          <w:rFonts w:ascii="arial" w:hAnsi="arial" w:eastAsia="arial" w:cs="arial"/>
          <w:sz w:val="28"/>
          <w:szCs w:val="28"/>
          <w:b w:val="1"/>
          <w:bCs w:val="1"/>
          <w:rtl/>
        </w:rPr>
        <w:t xml:space="preserve">شبل الدولة
</w:t>
      </w:r>
    </w:p>
    <w:p>
      <w:pPr/>
      <w:r>
        <w:rPr/>
        <w:t xml:space="preserve">شبل الدولة  مقاتل بن عطية البكري الحجازي، ابو الهيجاء، شبل الدولة: شاعر من بيت امارة في البادية. رحل من الحجاز وسكن بغداد. ثم تنقل في البلاد إلى ان اقام في خراسان. واختص بالوزير نظام الملك، فصاهره. ولما قتل نظام الملك عاد إلى بغداد. ثم طاف البلاد مسترفدا امراءها ففاز بمال وافر. واقام بمرو إلى ان مات. وكانت بينه وبين الامام الزمخشري مكاتبات ومداعبات، وشعره جيد.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الهيجاء
</w:t>
      </w:r>
    </w:p>
    <w:p>
      <w:pPr/>
      <w:r>
        <w:rPr/>
        <w:t xml:space="preserve">أبو الهيجاء الأمير الشاعر، شبل الدولة، مقاتل بن عطية البكري، الحجازي، سار إلى بغداد، وإلى غزنة وخراسان، ومدح الكبار، واختص بنظام الملك، ثم سار إلى ناصر الدين مكرم بن العلاء وزير كرمان، ومعه ورقة وقع له فيها المستظهر بالله: يا أبا الهيجاء أبعدت النجعة، أسرع الله بك الرجعة، وفي ابن العلاء مقنع، وطريقه في الخير مهيع، فلما دخل إلى ابن العلاء، أراه الورقة، فقام وخضع لها، وأمر في الحال له بألف دينار، فلما أنشده: </w:t>
      </w:r>
    </w:p>
    <w:p/>
    <w:p>
      <w:pPr>
        <w:jc w:val="center"/>
      </w:pPr>
      <w:r>
        <w:rPr>
          <w:color w:val="ff0000"/>
        </w:rPr>
        <w:t xml:space="preserve">دع العيس تذرع عرض الفلا</w:t>
      </w:r>
      <w:r>
        <w:rPr>
          <w:color w:val="ff0000"/>
        </w:rPr>
        <w:t xml:space="preserve">      </w:t>
      </w:r>
      <w:r>
        <w:rPr>
          <w:color w:val="ff0000"/>
        </w:rPr>
        <w:t xml:space="preserve"> إلى ابن العلاء وإلا فلا</w:t>
      </w:r>
    </w:p>
    <w:p/>
    <w:p>
      <w:pPr/>
      <w:r>
        <w:rPr/>
        <w:t xml:space="preserve">أمر له بألف دينار أخرى، وفرس وخلعة، ثم نزل بهراة، وهوي بها امرأة، ثم مرض وتسودن، ومات في حدود خمس وخمس مائة.</w:t>
      </w:r>
    </w:p>
    <w:p>
      <w:pPr>
        <w:jc w:val="start"/>
        <w:bidi/>
      </w:pPr>
      <w:r>
        <w:rPr>
          <w:sz w:val="24"/>
          <w:szCs w:val="24"/>
          <w:b w:val="1"/>
          <w:bCs w:val="1"/>
          <w:rtl/>
        </w:rPr>
        <w:t xml:space="preserve">
سير أعلام النبلاء،(دار الحديث- القاهرة،2006،ط 0،ج 14،ص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2026-05-16T09:16:48+03:00</dcterms:created>
  <dcterms:modified xsi:type="dcterms:W3CDTF">2026-05-16T09:16:48+03:00</dcterms:modified>
</cp:coreProperties>
</file>

<file path=docProps/custom.xml><?xml version="1.0" encoding="utf-8"?>
<Properties xmlns="http://schemas.openxmlformats.org/officeDocument/2006/custom-properties" xmlns:vt="http://schemas.openxmlformats.org/officeDocument/2006/docPropsVTypes"/>
</file>