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حاتم بن منصور بن إسماعيل أبو قرة 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حاتم بن منصور بن إسماعيل أبو قرة الهروي
</w:t>
      </w:r>
    </w:p>
    <w:p>
      <w:pPr/>
      <w:r>
        <w:rPr/>
        <w:t xml:space="preserve">حاتم بن منصور بن إسماعيل أبو قرة الهروي قد نيسابور سنة أربع وستين وأربعمائة.</w:t>
      </w:r>
    </w:p>
    <w:p/>
    <w:p>
      <w:pPr/>
      <w:r>
        <w:rPr/>
        <w:t xml:space="preserve">شيخ مشهور من وجوه القوم، وبيته بيت مشهور، سمع الحديث من أبيه، وغيره.</w:t>
      </w:r>
    </w:p>
    <w:p/>
    <w:p>
      <w:pPr/>
      <w:r>
        <w:rPr/>
        <w:t xml:space="preserve">ويأتي أبوه في محله،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2026-06-19T15:14:25+03:00</dcterms:created>
  <dcterms:modified xsi:type="dcterms:W3CDTF">2026-06-19T15:14:25+03:00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