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محمد بن علي بن الحسن بن أحمد بن إبراهيم بن إسحاق بن عثمان بن جعفر بن جابر بن عبد الله الأنصاري، الزرنجري، أبو الفضائل الملقب شمس الأئمة، من أهل بخارى
</w:t>
      </w:r>
    </w:p>
    <w:p>
      <w:pPr>
        <w:jc w:val="start"/>
        <w:bidi/>
      </w:pPr>
      <w:r>
        <w:rPr>
          <w:rFonts w:ascii="arial" w:hAnsi="arial" w:eastAsia="arial" w:cs="arial"/>
          <w:sz w:val="28"/>
          <w:szCs w:val="28"/>
          <w:b w:val="1"/>
          <w:bCs w:val="1"/>
          <w:rtl/>
        </w:rPr>
        <w:t xml:space="preserve">بكر بن محمد بن علي بن الحسن بن أحمد بن إبراهيم بن إسحاق بن عثمان
</w:t>
      </w:r>
    </w:p>
    <w:p>
      <w:pPr/>
      <w:r>
        <w:rPr/>
        <w:t xml:space="preserve">بكر بن محمد بن علي بن الحسن بن أحمد بن إبراهيم بن إسحاق بن عثمان بن جعفر بن جابر بن عبد الله الأنصاري، الزرنجري، أبو الفضائل الملقب شمس الأئمة، من أهل بخارى. تفقه على شمس الأئمة الحلواني، وغيره، وبرع في الفقه، وكان يضرب به المثل في حفظ مذهب أبي حنيفة، وكان مصيبا في الفتاوى، وأجوبة الوقائع، وكانت له معرفة بالأنساب والتواريخ، وكان أهل بلده يسمونه أبا حنيفة الأصغر.</w:t>
      </w:r>
    </w:p>
    <w:p/>
    <w:p>
      <w:pPr/>
      <w:r>
        <w:rPr/>
        <w:t xml:space="preserve">وكان نهاية في الحفظ، بحيث إن المتفقه إذا طلب منه إلقاء درس من أي محل كان، يلقيه من حفظه، ولا يحتاج إلى مراجعة كتاب.</w:t>
      </w:r>
    </w:p>
    <w:p/>
    <w:p>
      <w:pPr/>
      <w:r>
        <w:rPr/>
        <w:t xml:space="preserve">وكانت الفقهاء إذا وقع لهم في الرواية إشكال يراجعونه، ويأخذون بقوله.</w:t>
      </w:r>
    </w:p>
    <w:p/>
    <w:p>
      <w:pPr/>
      <w:r>
        <w:rPr/>
        <w:t xml:space="preserve">وأملى، وحدث، وسمع أباه، وشيخه الحلواني، وأبا مسعود البجلي، وكانت عنده كتب عالية.</w:t>
      </w:r>
    </w:p>
    <w:p/>
    <w:p>
      <w:pPr/>
      <w:r>
        <w:rPr/>
        <w:t xml:space="preserve">وذكره السمعاني في ’’ مشيخته ’’، وحكى أنه أجازه مكاتبة، سنة ثمان وخمسمائة، وأن جماعة كثيرة بخراسان وما وراء النهر رووا له عنه، وأن ولادته كانت سنة سبع وعشرين وأربعمائة، ووفاته في شعبان سنة اثنتي عشرة وخمسمائة.</w:t>
      </w:r>
    </w:p>
    <w:p/>
    <w:p>
      <w:pPr/>
      <w:r>
        <w:rPr/>
        <w:t xml:space="preserve">وقيل: إنه مات في ربيع الأول، من هذه السنة، رحمه الله تعالى.</w:t>
      </w:r>
    </w:p>
    <w:p>
      <w:pPr>
        <w:jc w:val="start"/>
        <w:bidi/>
      </w:pPr>
      <w:r>
        <w:rPr>
          <w:sz w:val="24"/>
          <w:szCs w:val="24"/>
          <w:b w:val="1"/>
          <w:bCs w:val="1"/>
          <w:rtl/>
        </w:rPr>
        <w:t xml:space="preserve">
الطبقات السنية في تراجم الحنفية،(دار الرفاعي - الرياض،1983،ط 0،ج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2026-06-19T14:03:34+03:00</dcterms:created>
  <dcterms:modified xsi:type="dcterms:W3CDTF">2026-06-19T14:03:34+03:00</dcterms:modified>
</cp:coreProperties>
</file>

<file path=docProps/custom.xml><?xml version="1.0" encoding="utf-8"?>
<Properties xmlns="http://schemas.openxmlformats.org/officeDocument/2006/custom-properties" xmlns:vt="http://schemas.openxmlformats.org/officeDocument/2006/docPropsVTypes"/>
</file>