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أكثم بن يحيى بن حبان ابن بشر بن المخارق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أكثم بن يحيى بن حبان ابن بشر بن المخارق الأسدي
</w:t>
      </w:r>
    </w:p>
    <w:p>
      <w:pPr/>
      <w:r>
        <w:rPr/>
        <w:t xml:space="preserve">أكثم بن يحيى بن حبان ابن بشر بن المخارق الأسدي والد عمر القاضي.</w:t>
      </w:r>
    </w:p>
    <w:p/>
    <w:p>
      <w:pPr/>
      <w:r>
        <w:rPr/>
        <w:t xml:space="preserve">قال ابن النجار: إنه ولي قضاء بغداد، وأصبهان، وإنه كان من أصحاب أبي حنيفة، رضي الله تعالى عنه.</w:t>
      </w:r>
    </w:p>
    <w:p/>
    <w:p>
      <w:pPr/>
      <w:r>
        <w:rPr/>
        <w:t xml:space="preserve">مات سنة تسع وثلاثمائة،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2026-06-21T13:28:44+03:00</dcterms:created>
  <dcterms:modified xsi:type="dcterms:W3CDTF">2026-06-21T13:28:44+03:00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