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محمد بن الحسن، أبو الفضل، الحاكم الكرابيسي، الفقيه، المذكر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بن الحسن، أبو الفضل، الحاكم الكرابيسي، الفقيه، المذكر
</w:t>
      </w:r>
    </w:p>
    <w:p>
      <w:pPr/>
      <w:r>
        <w:rPr/>
        <w:t xml:space="preserve">إسماعيل بن محمد بن الحسن، أبو الفضل، الحاكم الكرابيسي، الفقيه، المذكر ذكره في ’’ سياق نيسابور ’’ فقال: شيخ فاضل، معروف، من الحنفية.</w:t>
      </w:r>
    </w:p>
    <w:p/>
    <w:p>
      <w:pPr/>
      <w:r>
        <w:rPr/>
        <w:t xml:space="preserve">سمع الحديث من الخفاف، وطبقته.</w:t>
      </w:r>
    </w:p>
    <w:p/>
    <w:p>
      <w:pPr/>
      <w:r>
        <w:rPr/>
        <w:t xml:space="preserve">أخبرنا عنه أبو بكر محمد بن يحيى بن إبراهيم.</w:t>
      </w:r>
    </w:p>
    <w:p/>
    <w:p>
      <w:pPr/>
      <w:r>
        <w:rPr/>
        <w:t xml:space="preserve">وتوفي سنة إحدى وستين وأربعمائة.</w:t>
      </w:r>
    </w:p>
    <w:p/>
    <w:p>
      <w:pPr/>
      <w:r>
        <w:rPr/>
        <w:t xml:space="preserve">وذكره الثعالبي، في ’’ تتمة اليتيمة ’’، وقال في حقه: من أشعر الفقهاء، وأفقه الشعراء، ومن العلم حشو ثيابه، والعقل والفضل من أوصافه وألقابه، يقول ويحسن.</w:t>
      </w:r>
    </w:p>
    <w:p/>
    <w:p>
      <w:pPr/>
      <w:r>
        <w:rPr/>
        <w:t xml:space="preserve">ثم أنشد له:</w:t>
      </w:r>
    </w:p>
    <w:p/>
    <w:p>
      <w:pPr>
        <w:jc w:val="center"/>
      </w:pPr>
      <w:r>
        <w:rPr>
          <w:color w:val="ff0000"/>
        </w:rPr>
        <w:t xml:space="preserve">تمنيت أن تحيى حياة هنيئة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 لا ترى كر الزمان بلابلا</w:t>
      </w:r>
    </w:p>
    <w:p/>
    <w:p>
      <w:pPr>
        <w:jc w:val="center"/>
      </w:pPr>
      <w:r>
        <w:rPr>
          <w:color w:val="ff0000"/>
        </w:rPr>
        <w:t xml:space="preserve">رويدك هذي الدار سجن وقلما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يمر على المسجون يوم بلابلا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2026-06-15T14:24:49+03:00</dcterms:created>
  <dcterms:modified xsi:type="dcterms:W3CDTF">2026-06-15T14:24:49+03:00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