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العزيز بن سوار بن صلاح أبو عبد العزيز،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العزيز بن سوار بن صلاح أبو عبد العزيز، البصروي
</w:t>
      </w:r>
    </w:p>
    <w:p>
      <w:pPr/>
      <w:r>
        <w:rPr/>
        <w:t xml:space="preserve">إسماعيل بن عبد العزيز بن سوار بن صلاح أبو عبد العزيز، البصروي نزيل دمشق.</w:t>
      </w:r>
    </w:p>
    <w:p/>
    <w:p>
      <w:pPr/>
      <w:r>
        <w:rPr/>
        <w:t xml:space="preserve">مولده بقرية الكفر، من عمل بصري، في سنة أربع وثمانين وخمسمائة.</w:t>
      </w:r>
    </w:p>
    <w:p/>
    <w:p>
      <w:pPr/>
      <w:r>
        <w:rPr/>
        <w:t xml:space="preserve">ذكره الدمياطي، في ’’ معجم شيوخه ’’.</w:t>
      </w:r>
    </w:p>
    <w:p/>
    <w:p>
      <w:pPr/>
      <w:r>
        <w:rPr/>
        <w:t xml:space="preserve">وأخوه محمد، يأتي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2026-06-15T14:54:35+03:00</dcterms:created>
  <dcterms:modified xsi:type="dcterms:W3CDTF">2026-06-15T14:54:35+03:00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